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2ef3" w14:textId="2652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31 наурыздағы № 169 бұйрығы. Қазақстан Республикасының Әділет министрлігінде 2022 жылғы 5 сәуірде № 27420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Сертификатты ресімдеу және беру мерзімі сертификаттық тексеру актiсi жасалғаннан кейiн он жұмыс күнін құрайды.</w:t>
      </w:r>
    </w:p>
    <w:p>
      <w:pPr>
        <w:spacing w:after="0"/>
        <w:ind w:left="0"/>
        <w:jc w:val="both"/>
      </w:pPr>
      <w:r>
        <w:rPr>
          <w:rFonts w:ascii="Times New Roman"/>
          <w:b w:val="false"/>
          <w:i w:val="false"/>
          <w:color w:val="000000"/>
          <w:sz w:val="28"/>
        </w:rPr>
        <w:t>
      Сертификат беруден бас тарту туралы шешім қабылданған кезде уәкілетті ұйым өтініш берушіге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ұйым сертификат береді немесе сертификат беруден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"27–1. Өтініш беруші мемлекеттік қызметті көрсету мәселелері бойынша шағымды шешіміне, әрекетіне (әрекетсіздігіне) шағым жасалып отырған уәкілетті ұйымға,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ұйым, лауазымды адам шағым келіп түскен күннен бастап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уәкілетті ұйым,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5"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 аэроғарыш</w:t>
            </w:r>
          </w:p>
          <w:p>
            <w:pPr>
              <w:spacing w:after="20"/>
              <w:ind w:left="20"/>
              <w:jc w:val="both"/>
            </w:pPr>
            <w:r>
              <w:rPr>
                <w:rFonts w:ascii="Times New Roman"/>
                <w:b/>
                <w:i w:val="false"/>
                <w:color w:val="000000"/>
                <w:sz w:val="20"/>
              </w:rPr>
              <w:t>өнеркәсібі</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