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db259" w14:textId="61db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6 сәуірдегі № 28 қаулысы. Қазақстан Республикасының Әділет министрлігінде 2022 жылғы 8 сәуірде № 27486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w:t>
      </w:r>
      <w:r>
        <w:rPr>
          <w:rFonts w:ascii="Times New Roman"/>
          <w:b w:val="false"/>
          <w:i w:val="false"/>
          <w:color w:val="000000"/>
          <w:sz w:val="28"/>
        </w:rPr>
        <w:t>мөлшерінде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"71. Өтімділік нормативтері орташа айлық негізде айқындалатын өтімділік коэффициенттерінің есептік мәндеріне қарамастан, өтімділік нормативтері есепті кезеңде банк кредиторлар мен салымшыларға мерзімі өткен міндеттемелер болған жағдайда орындалмаған деп есептеледі.</w:t>
      </w:r>
    </w:p>
    <w:p>
      <w:pPr>
        <w:spacing w:after="0"/>
        <w:ind w:left="0"/>
        <w:jc w:val="both"/>
      </w:pPr>
      <w:r>
        <w:rPr>
          <w:rFonts w:ascii="Times New Roman"/>
          <w:b w:val="false"/>
          <w:i w:val="false"/>
          <w:color w:val="000000"/>
          <w:sz w:val="28"/>
        </w:rPr>
        <w:t xml:space="preserve">
      Өтімділік нормативтері: </w:t>
      </w:r>
    </w:p>
    <w:p>
      <w:pPr>
        <w:spacing w:after="0"/>
        <w:ind w:left="0"/>
        <w:jc w:val="both"/>
      </w:pPr>
      <w:r>
        <w:rPr>
          <w:rFonts w:ascii="Times New Roman"/>
          <w:b w:val="false"/>
          <w:i w:val="false"/>
          <w:color w:val="000000"/>
          <w:sz w:val="28"/>
        </w:rPr>
        <w:t xml:space="preserve">
      клиенттердің ақша қаражатының әкетілуіне; </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бір немесе бірнеше өтімділік коэффициенттерінің мәндері банкке байланыссыз жағдайлар бойынша белгіленген ең төменгі мәндерден төмендеген жағдайда 2022 жылғы 21 ақпаннан 2022 жылғы 31 мамыр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xml:space="preserve">
      Банк осындай төмендеу анықталған күннен бастап 3 (үш) жұмыс күні ішінде осындай төмендеу анықталған күннен бастап 6 (алты) айға дейінгі мерзімде өтімділік нормативтерді белгіленген ең төменгі мәндерден кем емес деңгейге дейін арттыру жөніндегі іс-шаралар жоспарын уәкілетті органға келісуге жібереді. </w:t>
      </w:r>
    </w:p>
    <w:p>
      <w:pPr>
        <w:spacing w:after="0"/>
        <w:ind w:left="0"/>
        <w:jc w:val="both"/>
      </w:pPr>
      <w:r>
        <w:rPr>
          <w:rFonts w:ascii="Times New Roman"/>
          <w:b w:val="false"/>
          <w:i w:val="false"/>
          <w:color w:val="000000"/>
          <w:sz w:val="28"/>
        </w:rPr>
        <w:t>
      Уәкілетті орган осы тармақтың үшінші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жойылмаса, өтімділік коэффициенттерінің төмендеуі аталған төмендеу анықталған күннен бастап осы нормативтердің бұзылуы ретінде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"79. Банктер 2016 жылғы 1 шілде - 2018 жылғы 31 тамыз аралығында өтімділік тәуекелін бағалау мақсатында өтімділікті өтеу коэффициентін есептейді. Өтімділікті өтеу коэффициенті есептеу нәтижелері уәкілетті органға ай сайынғы негізде ұсыныла отырып, айдың соңғы жұмыс күнінде есептеледі. Өтімділікті өтеу коэффициентінің ең төмен мәні мынадай мөлшерде белгіленеді:</w:t>
      </w:r>
    </w:p>
    <w:p>
      <w:pPr>
        <w:spacing w:after="0"/>
        <w:ind w:left="0"/>
        <w:jc w:val="both"/>
      </w:pPr>
      <w:r>
        <w:rPr>
          <w:rFonts w:ascii="Times New Roman"/>
          <w:b w:val="false"/>
          <w:i w:val="false"/>
          <w:color w:val="000000"/>
          <w:sz w:val="28"/>
        </w:rPr>
        <w:t>
      2018 жылғы 1 қыркүйек пен 2018 жылғы 31 желтоқсан аралығында - 0,5;</w:t>
      </w:r>
    </w:p>
    <w:p>
      <w:pPr>
        <w:spacing w:after="0"/>
        <w:ind w:left="0"/>
        <w:jc w:val="both"/>
      </w:pPr>
      <w:r>
        <w:rPr>
          <w:rFonts w:ascii="Times New Roman"/>
          <w:b w:val="false"/>
          <w:i w:val="false"/>
          <w:color w:val="000000"/>
          <w:sz w:val="28"/>
        </w:rPr>
        <w:t>
      2019 жылғы 1 қаңтар мен 2019 жылғы 31 желтоқсан аралығында - 0,6;</w:t>
      </w:r>
    </w:p>
    <w:p>
      <w:pPr>
        <w:spacing w:after="0"/>
        <w:ind w:left="0"/>
        <w:jc w:val="both"/>
      </w:pPr>
      <w:r>
        <w:rPr>
          <w:rFonts w:ascii="Times New Roman"/>
          <w:b w:val="false"/>
          <w:i w:val="false"/>
          <w:color w:val="000000"/>
          <w:sz w:val="28"/>
        </w:rPr>
        <w:t>
      2020 жылғы 1 қаңтар мен 2020 жылғы 31 наурыз аралығында – 0,8, 2020 жылғы 1 сәуір мен 2020 жылғы 30 қыркүйек аралығында – 0,60, 2020 жылғы 1 қазан мен 2020 жылғы 31 желтоқсан аралығында – 0,8;</w:t>
      </w:r>
    </w:p>
    <w:p>
      <w:pPr>
        <w:spacing w:after="0"/>
        <w:ind w:left="0"/>
        <w:jc w:val="both"/>
      </w:pPr>
      <w:r>
        <w:rPr>
          <w:rFonts w:ascii="Times New Roman"/>
          <w:b w:val="false"/>
          <w:i w:val="false"/>
          <w:color w:val="000000"/>
          <w:sz w:val="28"/>
        </w:rPr>
        <w:t>
      2021 жылғы 1 қаңтар мен 2021 жылғы 31 желтоқсан аралығында – 0,9;</w:t>
      </w:r>
    </w:p>
    <w:p>
      <w:pPr>
        <w:spacing w:after="0"/>
        <w:ind w:left="0"/>
        <w:jc w:val="both"/>
      </w:pPr>
      <w:r>
        <w:rPr>
          <w:rFonts w:ascii="Times New Roman"/>
          <w:b w:val="false"/>
          <w:i w:val="false"/>
          <w:color w:val="000000"/>
          <w:sz w:val="28"/>
        </w:rPr>
        <w:t>
      2022 жылғы 1 қаңтардан бастап - 1.</w:t>
      </w:r>
    </w:p>
    <w:p>
      <w:pPr>
        <w:spacing w:after="0"/>
        <w:ind w:left="0"/>
        <w:jc w:val="both"/>
      </w:pPr>
      <w:r>
        <w:rPr>
          <w:rFonts w:ascii="Times New Roman"/>
          <w:b w:val="false"/>
          <w:i w:val="false"/>
          <w:color w:val="000000"/>
          <w:sz w:val="28"/>
        </w:rPr>
        <w:t>
      Өтімділікті өтеу коэффициентінің мәні белгіленген ең төмен мәнінен төмендеген, бірақ мынадай мөлшерден төмен емес жағдайда:</w:t>
      </w:r>
    </w:p>
    <w:p>
      <w:pPr>
        <w:spacing w:after="0"/>
        <w:ind w:left="0"/>
        <w:jc w:val="both"/>
      </w:pPr>
      <w:r>
        <w:rPr>
          <w:rFonts w:ascii="Times New Roman"/>
          <w:b w:val="false"/>
          <w:i w:val="false"/>
          <w:color w:val="000000"/>
          <w:sz w:val="28"/>
        </w:rPr>
        <w:t>
      2018 жылғы 1 қыркүйек пен 2018 жылғы 31 желтоқсан аралығында - 0,43;</w:t>
      </w:r>
    </w:p>
    <w:p>
      <w:pPr>
        <w:spacing w:after="0"/>
        <w:ind w:left="0"/>
        <w:jc w:val="both"/>
      </w:pPr>
      <w:r>
        <w:rPr>
          <w:rFonts w:ascii="Times New Roman"/>
          <w:b w:val="false"/>
          <w:i w:val="false"/>
          <w:color w:val="000000"/>
          <w:sz w:val="28"/>
        </w:rPr>
        <w:t>
      2019 жылғы 1 қаңтар мен 2019 жылғы 31 желтоқсан аралығында - 0,50;</w:t>
      </w:r>
    </w:p>
    <w:p>
      <w:pPr>
        <w:spacing w:after="0"/>
        <w:ind w:left="0"/>
        <w:jc w:val="both"/>
      </w:pPr>
      <w:r>
        <w:rPr>
          <w:rFonts w:ascii="Times New Roman"/>
          <w:b w:val="false"/>
          <w:i w:val="false"/>
          <w:color w:val="000000"/>
          <w:sz w:val="28"/>
        </w:rPr>
        <w:t>
      2020 жылғы 1 қаңтар мен 2020 жылғы 31 наурыз аралығында – 0,68, 2020 жылғы 1 сәуір мен 2020 жылғы 30 қыркүйек аралығында – 0,50, 2020 жылғы 1 қазан мен 2020 жылғы 31 желтоқсан аралығында – 0,68;</w:t>
      </w:r>
    </w:p>
    <w:p>
      <w:pPr>
        <w:spacing w:after="0"/>
        <w:ind w:left="0"/>
        <w:jc w:val="both"/>
      </w:pPr>
      <w:r>
        <w:rPr>
          <w:rFonts w:ascii="Times New Roman"/>
          <w:b w:val="false"/>
          <w:i w:val="false"/>
          <w:color w:val="000000"/>
          <w:sz w:val="28"/>
        </w:rPr>
        <w:t>
      2021 жылғы 1 қаңтар мен 2021 жылғы 31 желтоқсан аралығында – 0,77;</w:t>
      </w:r>
    </w:p>
    <w:p>
      <w:pPr>
        <w:spacing w:after="0"/>
        <w:ind w:left="0"/>
        <w:jc w:val="both"/>
      </w:pPr>
      <w:r>
        <w:rPr>
          <w:rFonts w:ascii="Times New Roman"/>
          <w:b w:val="false"/>
          <w:i w:val="false"/>
          <w:color w:val="000000"/>
          <w:sz w:val="28"/>
        </w:rPr>
        <w:t>
      2022 жылғы 1 қаңтардан бастап – 0,85,</w:t>
      </w:r>
    </w:p>
    <w:p>
      <w:pPr>
        <w:spacing w:after="0"/>
        <w:ind w:left="0"/>
        <w:jc w:val="both"/>
      </w:pPr>
      <w:r>
        <w:rPr>
          <w:rFonts w:ascii="Times New Roman"/>
          <w:b w:val="false"/>
          <w:i w:val="false"/>
          <w:color w:val="000000"/>
          <w:sz w:val="28"/>
        </w:rPr>
        <w:t>
      банк осындай төмендету анықталған күннен бастап 3 (үш) жұмыс күні ішінде уәкілетті органға өтімділікті өтеу коэффициентінің мәнін белгіленген ең төменгі мәннен кем емес деңгейге дейін арттыру жөніндегі іс-шаралар жоспарын жібереді және өтімділікті өтеу коэффициенті төмендеген күннен кейінгі айдың әр жұмыс күні үшін өтімділікті өтеу коэффициентінің мәнін және жетіспеушілікті белгіленген ең төменгі мәндерге дейін есептеп шығарады.</w:t>
      </w:r>
    </w:p>
    <w:p>
      <w:pPr>
        <w:spacing w:after="0"/>
        <w:ind w:left="0"/>
        <w:jc w:val="both"/>
      </w:pPr>
      <w:r>
        <w:rPr>
          <w:rFonts w:ascii="Times New Roman"/>
          <w:b w:val="false"/>
          <w:i w:val="false"/>
          <w:color w:val="000000"/>
          <w:sz w:val="28"/>
        </w:rPr>
        <w:t>
      Іс-шаралар жоспары өтімділікті өтеу коэффициенті мәнінің белгіленген ең төменгі мәндерден төмендеген бірінші күннен бастап күнтізбелік 30 (отыз) күннің ішінде өтімділікті өтеу коэффициентін белгіленген ең төменгі мәндерден кем емес деңгейге дейін арттыру бойынша шараларды қамтиды.</w:t>
      </w:r>
    </w:p>
    <w:p>
      <w:pPr>
        <w:spacing w:after="0"/>
        <w:ind w:left="0"/>
        <w:jc w:val="both"/>
      </w:pPr>
      <w:r>
        <w:rPr>
          <w:rFonts w:ascii="Times New Roman"/>
          <w:b w:val="false"/>
          <w:i w:val="false"/>
          <w:color w:val="000000"/>
          <w:sz w:val="28"/>
        </w:rPr>
        <w:t>
      Белгіленген ең төменгі мәндерге дейін жетіспеушілік белгіленген ең төменгі мәннің және өтімділікті өтеу коэффициентінің нақты мәні арасындағы айырмашылық ретінде есептеледі.</w:t>
      </w:r>
    </w:p>
    <w:p>
      <w:pPr>
        <w:spacing w:after="0"/>
        <w:ind w:left="0"/>
        <w:jc w:val="both"/>
      </w:pPr>
      <w:r>
        <w:rPr>
          <w:rFonts w:ascii="Times New Roman"/>
          <w:b w:val="false"/>
          <w:i w:val="false"/>
          <w:color w:val="000000"/>
          <w:sz w:val="28"/>
        </w:rPr>
        <w:t>
      Белгіленген ең төменгі мәндерге дейінгі жетіспеушіліктер сомасы өтімділікті өтеу коэффициентінің мәні белгіленген ең төменгі мәндерден төмендеген күннен кейінгі айда 0,25 артық емес болса норматив орындалған болып саналады.</w:t>
      </w:r>
    </w:p>
    <w:p>
      <w:pPr>
        <w:spacing w:after="0"/>
        <w:ind w:left="0"/>
        <w:jc w:val="both"/>
      </w:pPr>
      <w:r>
        <w:rPr>
          <w:rFonts w:ascii="Times New Roman"/>
          <w:b w:val="false"/>
          <w:i w:val="false"/>
          <w:color w:val="000000"/>
          <w:sz w:val="28"/>
        </w:rPr>
        <w:t>
      Норматив:</w:t>
      </w:r>
    </w:p>
    <w:p>
      <w:pPr>
        <w:spacing w:after="0"/>
        <w:ind w:left="0"/>
        <w:jc w:val="both"/>
      </w:pPr>
      <w:r>
        <w:rPr>
          <w:rFonts w:ascii="Times New Roman"/>
          <w:b w:val="false"/>
          <w:i w:val="false"/>
          <w:color w:val="000000"/>
          <w:sz w:val="28"/>
        </w:rPr>
        <w:t>
      өтімділікті өтеу коэффициентінің мәні осы тармақтың екінші бөлігінің екінші, үшінші, төртінші, бесінші және алтыншы абзацтарында көрсетілген деңгейден төмендеген;</w:t>
      </w:r>
    </w:p>
    <w:p>
      <w:pPr>
        <w:spacing w:after="0"/>
        <w:ind w:left="0"/>
        <w:jc w:val="both"/>
      </w:pPr>
      <w:r>
        <w:rPr>
          <w:rFonts w:ascii="Times New Roman"/>
          <w:b w:val="false"/>
          <w:i w:val="false"/>
          <w:color w:val="000000"/>
          <w:sz w:val="28"/>
        </w:rPr>
        <w:t>
      өтімділікті өтеу коэффициентінің мәні белгіленген ең төменгі мәндерден, бірақ осы тармақтың екінші бөлігінің екінші, үшінші, төртінші, бесінші және алтыншы абзацтарында белгіленген шекте, соңғы 6 (алты) ай ішінде үш және одан да көп рет төмендеген;</w:t>
      </w:r>
    </w:p>
    <w:p>
      <w:pPr>
        <w:spacing w:after="0"/>
        <w:ind w:left="0"/>
        <w:jc w:val="both"/>
      </w:pPr>
      <w:r>
        <w:rPr>
          <w:rFonts w:ascii="Times New Roman"/>
          <w:b w:val="false"/>
          <w:i w:val="false"/>
          <w:color w:val="000000"/>
          <w:sz w:val="28"/>
        </w:rPr>
        <w:t>
      өтімділікті өтеу коэффициентін белгіленген ең төменгі мәндерден кем емес деңгейге дейін арттыру жөніндегі іс-шаралар жоспарын жүзеге асырмаған;</w:t>
      </w:r>
    </w:p>
    <w:p>
      <w:pPr>
        <w:spacing w:after="0"/>
        <w:ind w:left="0"/>
        <w:jc w:val="both"/>
      </w:pPr>
      <w:r>
        <w:rPr>
          <w:rFonts w:ascii="Times New Roman"/>
          <w:b w:val="false"/>
          <w:i w:val="false"/>
          <w:color w:val="000000"/>
          <w:sz w:val="28"/>
        </w:rPr>
        <w:t>
      жетіспеушіліктер сомасы өтімділікті өтеу коэффициентінің мәні белгіленген ең төменгі мәндерден төмен болған күннен кейінгі айда белгіленген ең төменгі мәндерден 0,25 асып кеткен жағдайларда бұзылған болып есептеледі.</w:t>
      </w:r>
    </w:p>
    <w:p>
      <w:pPr>
        <w:spacing w:after="0"/>
        <w:ind w:left="0"/>
        <w:jc w:val="both"/>
      </w:pPr>
      <w:r>
        <w:rPr>
          <w:rFonts w:ascii="Times New Roman"/>
          <w:b w:val="false"/>
          <w:i w:val="false"/>
          <w:color w:val="000000"/>
          <w:sz w:val="28"/>
        </w:rPr>
        <w:t>
      Өтімділікті өтеу коэффициенті:</w:t>
      </w:r>
    </w:p>
    <w:p>
      <w:pPr>
        <w:spacing w:after="0"/>
        <w:ind w:left="0"/>
        <w:jc w:val="both"/>
      </w:pPr>
      <w:r>
        <w:rPr>
          <w:rFonts w:ascii="Times New Roman"/>
          <w:b w:val="false"/>
          <w:i w:val="false"/>
          <w:color w:val="000000"/>
          <w:sz w:val="28"/>
        </w:rPr>
        <w:t xml:space="preserve">
      клиенттердің ақша қаражатының әкетілуіне; </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xml:space="preserve">
      банк міндеттемелерінің валюталық құрылымының өзгеруіне байланысты банкке қатыссыз жағдайда белгіленген ең төменгі мәннен төмен өтімділікті өтеу коэффициентінің мәні төмендеген жағдайда 2022 жылғы 21 ақпаннан бастап қоса алғанда 2022 жылғы 31 мамыр аралығындағы кезеңде норматив бұзылған болып есептелмейді. </w:t>
      </w:r>
    </w:p>
    <w:p>
      <w:pPr>
        <w:spacing w:after="0"/>
        <w:ind w:left="0"/>
        <w:jc w:val="both"/>
      </w:pPr>
      <w:r>
        <w:rPr>
          <w:rFonts w:ascii="Times New Roman"/>
          <w:b w:val="false"/>
          <w:i w:val="false"/>
          <w:color w:val="000000"/>
          <w:sz w:val="28"/>
        </w:rPr>
        <w:t xml:space="preserve">
      Банк осындай төмендеу анықталған күннен бастап 3 (үш) жұмыс күні ішінде осындай төмендеу анықталған күннен бастап 6 (алты) айға дейінгі мерзімде өтімділікті өтеу коэффициентін белгіленген ең төменгі мәннен кем емес деңгейге дейін арттыру жөніндегі іс-шаралар жоспарын уәкілетті органға келісуге жібереді. </w:t>
      </w:r>
    </w:p>
    <w:p>
      <w:pPr>
        <w:spacing w:after="0"/>
        <w:ind w:left="0"/>
        <w:jc w:val="both"/>
      </w:pPr>
      <w:r>
        <w:rPr>
          <w:rFonts w:ascii="Times New Roman"/>
          <w:b w:val="false"/>
          <w:i w:val="false"/>
          <w:color w:val="000000"/>
          <w:sz w:val="28"/>
        </w:rPr>
        <w:t>
      Уәкілетті орган осы тармақтың сегізінші бөлігінде көрсетілген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өтімділікті өтеу коэффициентінің төмендеуі көрсетілген төмендеу анықталған күннен бастап осы нормативтің бұзылуы ретінде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"81. Банктер 2018 жылғы 1 қаңтар – 2018 жылғы 31 желтоқсан аралығында өтімділік тәуекелін бағалау мақсатында есептеу нәтижелерін уәкілетті органға ай сайынғы негізде ұсына отырып, нетто тұрақты қорландыру коэффициентін есептейді.</w:t>
      </w:r>
    </w:p>
    <w:p>
      <w:pPr>
        <w:spacing w:after="0"/>
        <w:ind w:left="0"/>
        <w:jc w:val="both"/>
      </w:pPr>
      <w:r>
        <w:rPr>
          <w:rFonts w:ascii="Times New Roman"/>
          <w:b w:val="false"/>
          <w:i w:val="false"/>
          <w:color w:val="000000"/>
          <w:sz w:val="28"/>
        </w:rPr>
        <w:t>
      Нетто тұрақты қорландыру коэффициентінің ең төмен мәні 2019 жылғы 1 қаңтардан бастап 1,0 мөлшерінде белгіленеді.</w:t>
      </w:r>
    </w:p>
    <w:p>
      <w:pPr>
        <w:spacing w:after="0"/>
        <w:ind w:left="0"/>
        <w:jc w:val="both"/>
      </w:pPr>
      <w:r>
        <w:rPr>
          <w:rFonts w:ascii="Times New Roman"/>
          <w:b w:val="false"/>
          <w:i w:val="false"/>
          <w:color w:val="000000"/>
          <w:sz w:val="28"/>
        </w:rPr>
        <w:t>
      Нетто тұрақты қорландыру коэффициенті:</w:t>
      </w:r>
    </w:p>
    <w:p>
      <w:pPr>
        <w:spacing w:after="0"/>
        <w:ind w:left="0"/>
        <w:jc w:val="both"/>
      </w:pPr>
      <w:r>
        <w:rPr>
          <w:rFonts w:ascii="Times New Roman"/>
          <w:b w:val="false"/>
          <w:i w:val="false"/>
          <w:color w:val="000000"/>
          <w:sz w:val="28"/>
        </w:rPr>
        <w:t xml:space="preserve">
      клиенттердің ақша қаражатының әкетілуіне; </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оның мәні банкке байланыссыз жағдайлар бойынша белгіленген ең төменгі мәнінен төмендеген жағдайда 2022 жылғы 21 ақпаннан 2022 жылғы 31 мамыр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көрсетілген төмендеу анықталған күннен бастап 6 (алты) айға дейінгі мерзімде нетто тұрақты қорландыру коэффициентін белгіленген ең төменгі мәннен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xml:space="preserve">
      Уәкілетті орган осы тармақтың төртінші бөлігінде көзделген іс-шаралар жоспарын келісуді ұсынған күнінен бастап 10 (он) жұмыс күн ішінде жүзеге асырады. </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онда нетто тұрақты қорландыру коэффициентінің төмендеуі аталған төмендеу анықталған күннен бастап осы нормативтің бұзылуы ретінде қарастырылады.";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"83. k7 коэффициенті Қазақстан Республикасының бейрезиденттері алдындағы қысқа мерзімді міндеттемелер сомасының банктің меншікті капиталына қатынасы ретінде есептеледі.</w:t>
      </w:r>
    </w:p>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 мыналар қосылады:</w:t>
      </w:r>
    </w:p>
    <w:p>
      <w:pPr>
        <w:spacing w:after="0"/>
        <w:ind w:left="0"/>
        <w:jc w:val="both"/>
      </w:pPr>
      <w:r>
        <w:rPr>
          <w:rFonts w:ascii="Times New Roman"/>
          <w:b w:val="false"/>
          <w:i w:val="false"/>
          <w:color w:val="000000"/>
          <w:sz w:val="28"/>
        </w:rPr>
        <w:t>
      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p>
      <w:pPr>
        <w:spacing w:after="0"/>
        <w:ind w:left="0"/>
        <w:jc w:val="both"/>
      </w:pPr>
      <w:r>
        <w:rPr>
          <w:rFonts w:ascii="Times New Roman"/>
          <w:b w:val="false"/>
          <w:i w:val="false"/>
          <w:color w:val="000000"/>
          <w:sz w:val="28"/>
        </w:rPr>
        <w:t>
      Қазақстан Республикасының бейрезиденттері алдындағы бастапқы өтеу мерзімі қоса алғанда 1 (бір) жылға дейінгі мерзімді міндеттемелер;</w:t>
      </w:r>
    </w:p>
    <w:p>
      <w:pPr>
        <w:spacing w:after="0"/>
        <w:ind w:left="0"/>
        <w:jc w:val="both"/>
      </w:pPr>
      <w:r>
        <w:rPr>
          <w:rFonts w:ascii="Times New Roman"/>
          <w:b w:val="false"/>
          <w:i w:val="false"/>
          <w:color w:val="000000"/>
          <w:sz w:val="28"/>
        </w:rPr>
        <w:t>
      Қазақстан Республикасының бейрезиденттері алдындағы кредитордың міндеттемелерді мерзімінен бұрын өтеуді талап ететін шартсыз құқығы бар мерзімді міндеттемелер, оның ішінде жеке және заңды тұлғалардың мерзімді және шартты депозиттерін қоспағанда, банктердің мерзімді және шартты депозиттері.</w:t>
      </w:r>
    </w:p>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сомасынан мыналар алып тасталады:</w:t>
      </w:r>
    </w:p>
    <w:p>
      <w:pPr>
        <w:spacing w:after="0"/>
        <w:ind w:left="0"/>
        <w:jc w:val="both"/>
      </w:pPr>
      <w:r>
        <w:rPr>
          <w:rFonts w:ascii="Times New Roman"/>
          <w:b w:val="false"/>
          <w:i w:val="false"/>
          <w:color w:val="000000"/>
          <w:sz w:val="28"/>
        </w:rPr>
        <w:t>
      Қазақстан Республикасының бейрезидент- заңды тұлғаларының ағымдағы шоттары;</w:t>
      </w:r>
    </w:p>
    <w:p>
      <w:pPr>
        <w:spacing w:after="0"/>
        <w:ind w:left="0"/>
        <w:jc w:val="both"/>
      </w:pPr>
      <w:r>
        <w:rPr>
          <w:rFonts w:ascii="Times New Roman"/>
          <w:b w:val="false"/>
          <w:i w:val="false"/>
          <w:color w:val="000000"/>
          <w:sz w:val="28"/>
        </w:rPr>
        <w:t>
      өз қызметін Қазақстан Республикасының аумағында жүзеге асыратын,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(бұдан әрі – № 203 қаулы) бекітілген Экономика секторларының және төлемдер белгілеу кодтарын қолдану қағидаларына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p>
      <w:pPr>
        <w:spacing w:after="0"/>
        <w:ind w:left="0"/>
        <w:jc w:val="both"/>
      </w:pPr>
      <w:r>
        <w:rPr>
          <w:rFonts w:ascii="Times New Roman"/>
          <w:b w:val="false"/>
          <w:i w:val="false"/>
          <w:color w:val="000000"/>
          <w:sz w:val="28"/>
        </w:rPr>
        <w:t>
      халықаралық қаржы ұйымдары болып табылатын Қазақстан Республикасының бейрезиденттері алдындағы қысқа мерзімді міндеттемелер;</w:t>
      </w:r>
    </w:p>
    <w:p>
      <w:pPr>
        <w:spacing w:after="0"/>
        <w:ind w:left="0"/>
        <w:jc w:val="both"/>
      </w:pPr>
      <w:r>
        <w:rPr>
          <w:rFonts w:ascii="Times New Roman"/>
          <w:b w:val="false"/>
          <w:i w:val="false"/>
          <w:color w:val="000000"/>
          <w:sz w:val="28"/>
        </w:rPr>
        <w:t>
      2013 жылғы 1 қаңтардан бастап 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p>
      <w:pPr>
        <w:spacing w:after="0"/>
        <w:ind w:left="0"/>
        <w:jc w:val="both"/>
      </w:pPr>
      <w:r>
        <w:rPr>
          <w:rFonts w:ascii="Times New Roman"/>
          <w:b w:val="false"/>
          <w:i w:val="false"/>
          <w:color w:val="000000"/>
          <w:sz w:val="28"/>
        </w:rPr>
        <w:t>
      банк кастодиандық шарт негізінде сақтауға қабылдаған қаражаттың инвестицияланбаған қалдықтары;</w:t>
      </w:r>
    </w:p>
    <w:p>
      <w:pPr>
        <w:spacing w:after="0"/>
        <w:ind w:left="0"/>
        <w:jc w:val="both"/>
      </w:pPr>
      <w:r>
        <w:rPr>
          <w:rFonts w:ascii="Times New Roman"/>
          <w:b w:val="false"/>
          <w:i w:val="false"/>
          <w:color w:val="000000"/>
          <w:sz w:val="28"/>
        </w:rPr>
        <w:t>
      Қазақстан Республикасының бейрезиденті - бас банктің алдындағы реттелген борыштық міндеттемелер;</w:t>
      </w:r>
    </w:p>
    <w:p>
      <w:pPr>
        <w:spacing w:after="0"/>
        <w:ind w:left="0"/>
        <w:jc w:val="both"/>
      </w:pPr>
      <w:r>
        <w:rPr>
          <w:rFonts w:ascii="Times New Roman"/>
          <w:b w:val="false"/>
          <w:i w:val="false"/>
          <w:color w:val="000000"/>
          <w:sz w:val="28"/>
        </w:rPr>
        <w:t>
      2022 жылғы 1 наурыздан бастап қоса алғанда 2022 жылғы 31 тамыз аралығындағы кезеңде өз талаптарында мерзімінен бұрын өтеудің пруденциялық нормативтердің Нормативтерде белгіленген мәндерден төмен мәнге төмендетуге алып келмейтіні көзделген Қазақстан Республикасының бейрезидент - бас банкі алдындағы депозиттер және кредиттер түріндегі өзге міндеттемелер.";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"88. Банктің ішкі активтері активтерді (ақшаны) және Қазақстан Республикасының резиденттеріне қойылатын талаптарды (орналастырылған салымдар, берілген қарыздар, үлестік және борыштық бағалы қағаздар, дебиторлық берешек), Қазақстан Республикасының резиденттері заңды тұлғалардың жарғылық капиталына қатысуды, материалдық емес активтерді және тазартылған бағалы металдарды, Қазақстан Республикасының аумағында орналасқан (тұрған) жылжымалы және жылжымайтын мүлікті,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төлемдері жөніндегі міндеттемелерді сөзсіз және қайтарып алынбайтын орындау туралы тармақтары бар сақтандыру шарттарымен қамтамасыз етілген, Қазақстан Республикасынан өңделген тауарлар мен көрсетілетін қызметтердің экспортын қаржыландыру үшін берілген қарыздар бойынша Қазақстан Республикасының бейрезиденттеріне қойылатын талаптарды, сондай-ақ халықаралық қаржы ұйымдарының теңгемен шығарылған және "Қазақстан қор биржасы" акционерлік қоғамының сауда жүйесінде саудаланатын облигацияларын білдіреді.</w:t>
      </w:r>
    </w:p>
    <w:p>
      <w:pPr>
        <w:spacing w:after="0"/>
        <w:ind w:left="0"/>
        <w:jc w:val="both"/>
      </w:pPr>
      <w:r>
        <w:rPr>
          <w:rFonts w:ascii="Times New Roman"/>
          <w:b w:val="false"/>
          <w:i w:val="false"/>
          <w:color w:val="000000"/>
          <w:sz w:val="28"/>
        </w:rPr>
        <w:t>
      Банктің ішкі міндеттемелері реттелген борышты, мерзімсіз қаржы құралдарын, банк шығарған және кастодиандық шарт негізінде банк қабылдаған қаражаттың инвестицияланбаған қалдықтарын қоспағанда, Қазақстан Республикасының резиденттері алдындағы міндеттемелерді білдіреді.</w:t>
      </w:r>
    </w:p>
    <w:p>
      <w:pPr>
        <w:spacing w:after="0"/>
        <w:ind w:left="0"/>
        <w:jc w:val="both"/>
      </w:pPr>
      <w:r>
        <w:rPr>
          <w:rFonts w:ascii="Times New Roman"/>
          <w:b w:val="false"/>
          <w:i w:val="false"/>
          <w:color w:val="000000"/>
          <w:sz w:val="28"/>
        </w:rPr>
        <w:t>
      Банктер қаражатының бір бөлігін ішкі активтерге орналастыру бойынша коэффициентті есептеу мақсаттары үшін Нормативтердің 86 және 87-тармақтарына сәйкес төмендегілердің:</w:t>
      </w:r>
    </w:p>
    <w:p>
      <w:pPr>
        <w:spacing w:after="0"/>
        <w:ind w:left="0"/>
        <w:jc w:val="both"/>
      </w:pPr>
      <w:r>
        <w:rPr>
          <w:rFonts w:ascii="Times New Roman"/>
          <w:b w:val="false"/>
          <w:i w:val="false"/>
          <w:color w:val="000000"/>
          <w:sz w:val="28"/>
        </w:rPr>
        <w:t>
      жарғылық капиталдың, не;</w:t>
      </w:r>
    </w:p>
    <w:p>
      <w:pPr>
        <w:spacing w:after="0"/>
        <w:ind w:left="0"/>
        <w:jc w:val="both"/>
      </w:pPr>
      <w:r>
        <w:rPr>
          <w:rFonts w:ascii="Times New Roman"/>
          <w:b w:val="false"/>
          <w:i w:val="false"/>
          <w:color w:val="000000"/>
          <w:sz w:val="28"/>
        </w:rPr>
        <w:t>
      Қазақстан Республикасының бейрезидент-еншілес ұйымдарының реттелген борышына инвестициялар, Қазақстан Республикасының бейрезидент-еншілес ұйымдарының акциялары шегерілген, бухгалтерлік баланстың деректеріне сәйкес меншікті капиталдың 0,75-ке көбейтілген ең аз мәні пайдаланылады.</w:t>
      </w:r>
    </w:p>
    <w:p>
      <w:pPr>
        <w:spacing w:after="0"/>
        <w:ind w:left="0"/>
        <w:jc w:val="both"/>
      </w:pPr>
      <w:r>
        <w:rPr>
          <w:rFonts w:ascii="Times New Roman"/>
          <w:b w:val="false"/>
          <w:i w:val="false"/>
          <w:color w:val="000000"/>
          <w:sz w:val="28"/>
        </w:rPr>
        <w:t>
      Банктер қаражатының бір бөлігін ішкі активтерге орналастыру бойынша коэффициенті:</w:t>
      </w:r>
    </w:p>
    <w:p>
      <w:pPr>
        <w:spacing w:after="0"/>
        <w:ind w:left="0"/>
        <w:jc w:val="both"/>
      </w:pPr>
      <w:r>
        <w:rPr>
          <w:rFonts w:ascii="Times New Roman"/>
          <w:b w:val="false"/>
          <w:i w:val="false"/>
          <w:color w:val="000000"/>
          <w:sz w:val="28"/>
        </w:rPr>
        <w:t xml:space="preserve">
      клиенттердің ақша қаражатының әкетілуіне; </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xml:space="preserve">
      банк міндеттемелерінің валюталық құрылымының өзгеруіне байланысты оның мәні банкке байланыссыз жағдайлар бойынша белгіленген ең төменгі мәнінен төмендеген жағдайда 2022 жылғы 21 ақпаннан 2022 жылғы 31 мамыр аралығындағы кезеңді қоса алғанда бұзылған болып есептелмейді. </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көрсетілген төмендеу анықталған күннен бастап 6 (алты) айға дейінгі мерзімде банктер қаражатының бір бөлігін ішкі активтерге орналастыру бойынша коэффициентін белгіленген ең төменгі мәннен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бесінші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банктер қаражатының бір бөлігін ішкі активтерге орналастыру бойынша коэффициентінің төмендеуі көрсетілген төмендеу анықталған күннен бастап осы нормативтің бұзылуы ретінде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15-қосымшаға</w:t>
      </w:r>
      <w:r>
        <w:rPr>
          <w:rFonts w:ascii="Times New Roman"/>
          <w:b w:val="false"/>
          <w:i w:val="false"/>
          <w:color w:val="000000"/>
          <w:sz w:val="28"/>
        </w:rPr>
        <w:t xml:space="preserve"> сәйкес Қолжетімді тұрақты қорландыру міндеттемелерінің кестесі осы қаулыға қосымшаға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бекітілетін Ашық валюталық позицияларды есептеу қағидалары мен </w:t>
      </w:r>
      <w:r>
        <w:rPr>
          <w:rFonts w:ascii="Times New Roman"/>
          <w:b w:val="false"/>
          <w:i w:val="false"/>
          <w:color w:val="000000"/>
          <w:sz w:val="28"/>
        </w:rPr>
        <w:t>лимиттерiнде</w:t>
      </w:r>
      <w:r>
        <w:rPr>
          <w:rFonts w:ascii="Times New Roman"/>
          <w:b w:val="false"/>
          <w:i w:val="false"/>
          <w:color w:val="000000"/>
          <w:sz w:val="28"/>
        </w:rPr>
        <w:t>:</w:t>
      </w:r>
    </w:p>
    <w:bookmarkStart w:name="z10" w:id="0"/>
    <w:p>
      <w:pPr>
        <w:spacing w:after="0"/>
        <w:ind w:left="0"/>
        <w:jc w:val="both"/>
      </w:pPr>
      <w:r>
        <w:rPr>
          <w:rFonts w:ascii="Times New Roman"/>
          <w:b w:val="false"/>
          <w:i w:val="false"/>
          <w:color w:val="000000"/>
          <w:sz w:val="28"/>
        </w:rPr>
        <w:t>
      4-тармақ мынадай редакцияда жазылсын:</w:t>
      </w:r>
    </w:p>
    <w:bookmarkEnd w:id="0"/>
    <w:p>
      <w:pPr>
        <w:spacing w:after="0"/>
        <w:ind w:left="0"/>
        <w:jc w:val="both"/>
      </w:pPr>
      <w:r>
        <w:rPr>
          <w:rFonts w:ascii="Times New Roman"/>
          <w:b w:val="false"/>
          <w:i w:val="false"/>
          <w:color w:val="000000"/>
          <w:sz w:val="28"/>
        </w:rPr>
        <w:t>
      "4. Ашық валюталық позицияның лимиттерi есепті апта ішінде кез келген шетел валютасы (тазартылған бағалы металл) бойынша асып түскен жағдайда кейiнгi 3 (үш) апта iшiнде бұзушылық жіберген банк үшін бұзылған валюталар (тазартылған бағалы металдар) бойынша ашық валюталық позициялардың лимиттерi осы Қағидалардың 3-тармағында белгiленген ашық валюталық позиция лимиттерiнен 5 (бес) пайыздық тармаққа азаюымен айқындалады.</w:t>
      </w:r>
    </w:p>
    <w:p>
      <w:pPr>
        <w:spacing w:after="0"/>
        <w:ind w:left="0"/>
        <w:jc w:val="both"/>
      </w:pPr>
      <w:r>
        <w:rPr>
          <w:rFonts w:ascii="Times New Roman"/>
          <w:b w:val="false"/>
          <w:i w:val="false"/>
          <w:color w:val="000000"/>
          <w:sz w:val="28"/>
        </w:rPr>
        <w:t>
      Жеке алынған шетел валютасы (тазартылған бағалы металл) ашық валюталық позициясының лимиттерін бұзылуы болып мыналар есептелмейді:</w:t>
      </w:r>
    </w:p>
    <w:p>
      <w:pPr>
        <w:spacing w:after="0"/>
        <w:ind w:left="0"/>
        <w:jc w:val="both"/>
      </w:pPr>
      <w:r>
        <w:rPr>
          <w:rFonts w:ascii="Times New Roman"/>
          <w:b w:val="false"/>
          <w:i w:val="false"/>
          <w:color w:val="000000"/>
          <w:sz w:val="28"/>
        </w:rPr>
        <w:t>
      0,09 (нөл бүтін жүзден тоғыз) пайыз шегінде;</w:t>
      </w:r>
    </w:p>
    <w:p>
      <w:pPr>
        <w:spacing w:after="0"/>
        <w:ind w:left="0"/>
        <w:jc w:val="both"/>
      </w:pPr>
      <w:r>
        <w:rPr>
          <w:rFonts w:ascii="Times New Roman"/>
          <w:b w:val="false"/>
          <w:i w:val="false"/>
          <w:color w:val="000000"/>
          <w:sz w:val="28"/>
        </w:rPr>
        <w:t>
      банкке байланыссыз себептермен, сот шешімі бойынша банк берген қарыз валютасының өзгеру бөлігінде банк белгіленген лимиттерді асыруы.</w:t>
      </w:r>
    </w:p>
    <w:p>
      <w:pPr>
        <w:spacing w:after="0"/>
        <w:ind w:left="0"/>
        <w:jc w:val="both"/>
      </w:pPr>
      <w:r>
        <w:rPr>
          <w:rFonts w:ascii="Times New Roman"/>
          <w:b w:val="false"/>
          <w:i w:val="false"/>
          <w:color w:val="000000"/>
          <w:sz w:val="28"/>
        </w:rPr>
        <w:t>
      Егер банкке қатыссыз, сот шешімі бойынша банк берген қарыз валютасының өзгеру бөлігінде банк ашық валюталық позицияларының лимиттерін асырған болса, банк ол туралы тез арада уәкілетті органға хабарлап, көрсетілген шектен асып кету айқындаған күннен бастап 3 (үш) ай ішінде жою бойынша міндеттемелер қабылдайды. Егер осы асып кету көрсетілген мерзiмде жойылмаған жағдайда онда валюталар бойынша ашық валюталық позиция лимиттерiнiң асып кетуі көрсетілген асып кету анықталған күннен бастап мұндай қалыптың бұзылуы ретінде қарастырылады.</w:t>
      </w:r>
    </w:p>
    <w:p>
      <w:pPr>
        <w:spacing w:after="0"/>
        <w:ind w:left="0"/>
        <w:jc w:val="both"/>
      </w:pPr>
      <w:r>
        <w:rPr>
          <w:rFonts w:ascii="Times New Roman"/>
          <w:b w:val="false"/>
          <w:i w:val="false"/>
          <w:color w:val="000000"/>
          <w:sz w:val="28"/>
        </w:rPr>
        <w:t>
      Ашық валюталық позицияның лимиттерi:</w:t>
      </w:r>
    </w:p>
    <w:p>
      <w:pPr>
        <w:spacing w:after="0"/>
        <w:ind w:left="0"/>
        <w:jc w:val="both"/>
      </w:pPr>
      <w:r>
        <w:rPr>
          <w:rFonts w:ascii="Times New Roman"/>
          <w:b w:val="false"/>
          <w:i w:val="false"/>
          <w:color w:val="000000"/>
          <w:sz w:val="28"/>
        </w:rPr>
        <w:t xml:space="preserve">
      клиенттердің ақша қаражатының әкетілуіне; </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әрбiр шетел валютасы немесе тазартылған бағалы металл бойынша банкке байланыссыз жағдайларда ашық валюталық позицияның лимиттерiнен асып кетуі жағдайында 2022 жылғы 21 ақпаннан 2022 жылғы 31 мамыр аралығындағы кезеңді қоса алғанда бұзылған деп есептелмейді.</w:t>
      </w:r>
    </w:p>
    <w:p>
      <w:pPr>
        <w:spacing w:after="0"/>
        <w:ind w:left="0"/>
        <w:jc w:val="both"/>
      </w:pPr>
      <w:r>
        <w:rPr>
          <w:rFonts w:ascii="Times New Roman"/>
          <w:b w:val="false"/>
          <w:i w:val="false"/>
          <w:color w:val="000000"/>
          <w:sz w:val="28"/>
        </w:rPr>
        <w:t>
      Банк осындай асып кету анықталған күннен бастап 3 (үш) жұмыс күні ішінде көрсетілген асып кету анықталған күннен бастап 6 (алты) айға дейінгі мерзімде ашық валюталық позиция лимиттерін белгіленген ең жоғары мәндерден аспайтын деңгейге дейін төмендету жөніндегі іс-шаралар жоспарын уәкілетті органға жібереді.</w:t>
      </w:r>
    </w:p>
    <w:p>
      <w:pPr>
        <w:spacing w:after="0"/>
        <w:ind w:left="0"/>
        <w:jc w:val="both"/>
      </w:pPr>
      <w:r>
        <w:rPr>
          <w:rFonts w:ascii="Times New Roman"/>
          <w:b w:val="false"/>
          <w:i w:val="false"/>
          <w:color w:val="000000"/>
          <w:sz w:val="28"/>
        </w:rPr>
        <w:t>
      Уәкілетті орган осы тармақтың бесінші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асып кету іс-шаралар жоспарында белгіленген мерзімде жойылмаған жағдайда, ашық валюталық позиция лимиттерi мәндерінің асып кетуі осы асып кету анықталған күннен бастап осы нормативтің бұзылуы ретінде қарастырылады.".</w:t>
      </w:r>
    </w:p>
    <w:bookmarkStart w:name="z11" w:id="1"/>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Start w:name="z12" w:id="2"/>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2"/>
    <w:bookmarkStart w:name="z13" w:id="3"/>
    <w:p>
      <w:pPr>
        <w:spacing w:after="0"/>
        <w:ind w:left="0"/>
        <w:jc w:val="both"/>
      </w:pPr>
      <w:r>
        <w:rPr>
          <w:rFonts w:ascii="Times New Roman"/>
          <w:b w:val="false"/>
          <w:i w:val="false"/>
          <w:color w:val="000000"/>
          <w:sz w:val="28"/>
        </w:rPr>
        <w:t xml:space="preserve">
      4. Осы қаулы алғашқы ресми жарияланған күнінен бастап күшіне енеді. Банктің осы қаулының 1-тармағының бесінші, отыз төртінші, қырық төртінші, жетпіс бірінші, сексен алтыншы абзацтарында көрсетілген пруденциялық нормативтерді және сақталуы міндетті өзге де нормалар мен лимиттерді және банк капиталының мөлшерін және ашық валюталық позиция лимиттерін бұзуы осы қаулы қолданысқа енгізілгенге дейін анықталған жағдайларда осы қаулының 1-тармағының тоғызыншы, отыз сегізінші, қырық сегізінші, жетпіс бесінші, тоқсаныншы абзацтарында көзделген мерзім осы қаулы қолданысқа енгізілген күннен бастап есептеледі. Осы қаулының 1-тармағының жетпіс сегізінші абзацы 2022 жылғы 21 ақпаннан бастап туындаған құқықтық қатынастарға қолданылады.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Қаржы нарығын реттеу және дамыту </w:t>
            </w:r>
          </w:p>
          <w:p>
            <w:pPr>
              <w:spacing w:after="20"/>
              <w:ind w:left="20"/>
              <w:jc w:val="both"/>
            </w:pPr>
            <w:r>
              <w:rPr>
                <w:rFonts w:ascii="Times New Roman"/>
                <w:b w:val="false"/>
                <w:i/>
                <w:color w:val="000000"/>
                <w:sz w:val="20"/>
              </w:rPr>
              <w:t xml:space="preserve">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Стратегиялық жоспарлау</w:t>
            </w:r>
          </w:p>
          <w:p>
            <w:pPr>
              <w:spacing w:after="20"/>
              <w:ind w:left="20"/>
              <w:jc w:val="both"/>
            </w:pPr>
            <w:r>
              <w:rPr>
                <w:rFonts w:ascii="Times New Roman"/>
                <w:b/>
                <w:i w:val="false"/>
                <w:color w:val="000000"/>
                <w:sz w:val="20"/>
              </w:rPr>
              <w:t>және рефо</w:t>
            </w:r>
            <w:r>
              <w:rPr>
                <w:rFonts w:ascii="Times New Roman"/>
                <w:b/>
                <w:i w:val="false"/>
                <w:color w:val="000000"/>
                <w:sz w:val="20"/>
              </w:rPr>
              <w:t>рмалар агенттігінің</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2022 жылғы 6 сәуірдегі</w:t>
            </w:r>
            <w:r>
              <w:br/>
            </w:r>
            <w:r>
              <w:rPr>
                <w:rFonts w:ascii="Times New Roman"/>
                <w:b w:val="false"/>
                <w:i w:val="false"/>
                <w:color w:val="000000"/>
                <w:sz w:val="20"/>
              </w:rPr>
              <w:t>№ 28 қаулыға</w:t>
            </w:r>
            <w:r>
              <w:br/>
            </w:r>
            <w:r>
              <w:rPr>
                <w:rFonts w:ascii="Times New Roman"/>
                <w:b w:val="false"/>
                <w:i w:val="false"/>
                <w:color w:val="000000"/>
                <w:sz w:val="20"/>
              </w:rPr>
              <w:t>қосымша</w:t>
            </w:r>
            <w:r>
              <w:br/>
            </w: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лимиттерінің нормативтік</w:t>
            </w:r>
            <w:r>
              <w:br/>
            </w:r>
            <w:r>
              <w:rPr>
                <w:rFonts w:ascii="Times New Roman"/>
                <w:b w:val="false"/>
                <w:i w:val="false"/>
                <w:color w:val="000000"/>
                <w:sz w:val="20"/>
              </w:rPr>
              <w:t>мәндері мен оларды есептеу</w:t>
            </w:r>
            <w:r>
              <w:br/>
            </w:r>
            <w:r>
              <w:rPr>
                <w:rFonts w:ascii="Times New Roman"/>
                <w:b w:val="false"/>
                <w:i w:val="false"/>
                <w:color w:val="000000"/>
                <w:sz w:val="20"/>
              </w:rPr>
              <w:t>әдістемелеріне, капиталының</w:t>
            </w:r>
            <w:r>
              <w:br/>
            </w:r>
            <w:r>
              <w:rPr>
                <w:rFonts w:ascii="Times New Roman"/>
                <w:b w:val="false"/>
                <w:i w:val="false"/>
                <w:color w:val="000000"/>
                <w:sz w:val="20"/>
              </w:rPr>
              <w:t>мөлшеріне</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Қолжетімді тұрақты қорландыру міндеттемелерінің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тұрақты қорландыру коэффициенті, пайызбен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Нормативтердің 11-тармағында белгіленген шегерімдерге дейін қосылады (1 (бір) жылдан аз өтеу мерзімі бар екінші деңгейдегі капитал құралдарын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өзге құралдары және 1 (бір) жыл және одан көп қалған өтеу мерзімі бар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тұрақсыз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 берген 1 (бір) жылдан аз қалған өтеу мерзімі бар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клиенттің өтімділігін басқару қызметімен байланысты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орталық үкіметтері, шет мемлекеттердің жергілікті билік органдары және халықаралық қаржы ұйымдары ұсынған 1 (бір) жылдан аз қалған өтеу мерзімі бар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салымдарын қоса алғанда 6 (алты) айдан көп және 1 (бір) жылдан аз қалған өтеу мерзімі бар міндеттемелердің өзге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6 (алты) айдан аз қалған өтеу мерзімі бар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шартсыз мерзімінен бұрын алу мүмкіндігі бар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қаңтардан бастап –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 оның ішінде мерзімсіз мiндеттемелер (мерзімі кейінге қалдырылған салық мiндеттемелері үшін ерекше режим белгілеумен)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мiндеттемелер мөлшері туынды қаржы құралдары бойынша активтердің мөлшерінен асқан жағдайда, туынды қаржы құралдары бойынша активтерді шегергенде туынды қаржы құралдары бойынша міндеттемелер бойынша нетто тұрақты қорландыру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күнінде қаржы құралдарын, шетел валютасын сатып алудан туындайтын төлемдер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