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b259" w14:textId="61db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6 сәуірдегі № 28 қаулысы. Қазақстан Республикасының Әділет министрлігінде 2022 жылғы 8 сәуірде № 27486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мөлшерінде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Өтімділік нормативтері орташа айлық негізде айқындалатын өтімділік коэффициенттерінің есептік мәндеріне қарамастан, өтімділік нормативтері есепті кезеңде банк кредиторлар мен салымшыларға мерзімі өткен міндеттемелер болған жағдайда орындалмаған деп есептеледі.</w:t>
      </w:r>
    </w:p>
    <w:p>
      <w:pPr>
        <w:spacing w:after="0"/>
        <w:ind w:left="0"/>
        <w:jc w:val="both"/>
      </w:pPr>
      <w:r>
        <w:rPr>
          <w:rFonts w:ascii="Times New Roman"/>
          <w:b w:val="false"/>
          <w:i w:val="false"/>
          <w:color w:val="000000"/>
          <w:sz w:val="28"/>
        </w:rPr>
        <w:t xml:space="preserve">
      Өтімділік нормативтері: </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бір немесе бірнеше өтімділік коэффициенттерінің мәндері банкке байланыссыз жағдайлар бойынша белгіленген ең төменгі мәндерден төмендеген жағдайда 2022 жылғы 21 ақпаннан 2022 жылғы 31 мамыр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6 (алты) айға дейінгі мерзімде өтімділік нормативтерді белгіленген ең төменгі мәндерден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0,60,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қаңтардан бастап - 1.</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қаңтардан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мамыр аралығындағы кезеңде норматив бұзылған болып есептелмейді. </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6 (алты)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p>
      <w:pPr>
        <w:spacing w:after="0"/>
        <w:ind w:left="0"/>
        <w:jc w:val="both"/>
      </w:pPr>
      <w:r>
        <w:rPr>
          <w:rFonts w:ascii="Times New Roman"/>
          <w:b w:val="false"/>
          <w:i w:val="false"/>
          <w:color w:val="000000"/>
          <w:sz w:val="28"/>
        </w:rPr>
        <w:t>
      Нетто тұрақты қорландыру коэффициентінің ең төмен мәні 2019 жылғы 1 қаңтардан бастап 1,0 мөлшерінде белгіленеді.</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мамыр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6 (алты)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xml:space="preserve">
      Уәкілетті орган осы тармақтың төртінші бөлігінде көзделген іс-шаралар жоспарын келісуді ұсынған күнінен бастап 10 (он) жұмыс күн ішінде жүзеге асырады. </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нетто тұрақты қорландыру коэффициентінің төмендеуі аталған төмендеу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қосылады:</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қоса алғанда 1 (бір) жылға дейінгі мерзімді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кредитордың міндеттемелерді мерзімінен бұрын өтеуді талап ететін шартсыз құқығы бар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 заңды тұлғаларының ағымдағы шоттары;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(бұдан әрі – № 203 қаулы) бекітілген Экономика секторларының және төлемдер белгілеу кодтарын қолдану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банк кастодиандық шарт негізінде сақтауға қабылдаған қаражаттың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бейрезиденті - бас банктің алдындағы реттелген борыштық міндеттемелер;</w:t>
      </w:r>
    </w:p>
    <w:p>
      <w:pPr>
        <w:spacing w:after="0"/>
        <w:ind w:left="0"/>
        <w:jc w:val="both"/>
      </w:pPr>
      <w:r>
        <w:rPr>
          <w:rFonts w:ascii="Times New Roman"/>
          <w:b w:val="false"/>
          <w:i w:val="false"/>
          <w:color w:val="000000"/>
          <w:sz w:val="28"/>
        </w:rPr>
        <w:t>
      2022 жылғы 1 наурыздан бастап қоса алғанда 2022 жылғы 31 тамыз аралығындағы кезеңде өз талаптарында мерзімінен бұрын өтеудің пруденциялық нормативтердің Нормативтерде белгіленген мәндерден төмен мәнге төмендетуге алып келмейтіні көзделген Қазақстан Республикасының бейрезидент - бас банкі алдындағы депозиттер және кредиттер түріндегі өзге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"88. Банктің ішкі активтері активтерді (ақшаны) және Қазақстан Республикасының резиденттеріне қойылатын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төлемдері жөніндегі міндеттемелерді сөзсіз және қайтарып алынбайтын орындау туралы тармақтары бар сақтандыру шарттарымен қамтамасыз етілген, Қазақстан Республикасынан өңделген тауарлар мен көрсетілетін қызметтердің экспортын қаржыландыру үшін берілген қарыздар бойынша Қазақстан Республикасының бейрезиденттеріне қойылатын талаптарды, сондай-ақ халықаралық қаржы ұйымдарының теңгемен шығарылған және "Қазақстан қор биржасы" акционерлік қоғамының сауда жүйесінде саудаланатын облигацияларын білдіреді.</w:t>
      </w:r>
    </w:p>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және кастодиандық шарт негізінде банк қабылдаған қаражаттың инвестицияланбаған қалдықтарын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коэффициентті есептеу мақсаттары үшін Нормативтердің 86 және 87-тармақтарына сәйкес төмендегілердің: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бейрезидент-еншілес ұйымдарының акциялары шегерілген, бухгалтерлік баланстың деректеріне сәйкес меншікті капиталдың 0,75-ке көбейтілген ең аз мәні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коэффициенті:</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мамыр аралығындағы кезеңді қоса алғанда бұзылған болып есептелмейді. </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6 (алты) айға дейінгі мерзімде банктер қаражатының бір бөлігін ішкі активтерге орналастыру бойынша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 осы қаулыға 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бекітілетін Ашық валюталық позицияларды есептеу қағидалары мен </w:t>
      </w:r>
      <w:r>
        <w:rPr>
          <w:rFonts w:ascii="Times New Roman"/>
          <w:b w:val="false"/>
          <w:i w:val="false"/>
          <w:color w:val="000000"/>
          <w:sz w:val="28"/>
        </w:rPr>
        <w:t>лимиттерiнде</w:t>
      </w:r>
      <w:r>
        <w:rPr>
          <w:rFonts w:ascii="Times New Roman"/>
          <w:b w:val="false"/>
          <w:i w:val="false"/>
          <w:color w:val="000000"/>
          <w:sz w:val="28"/>
        </w:rPr>
        <w:t>:</w:t>
      </w:r>
    </w:p>
    <w:bookmarkStart w:name="z10" w:id="0"/>
    <w:p>
      <w:pPr>
        <w:spacing w:after="0"/>
        <w:ind w:left="0"/>
        <w:jc w:val="both"/>
      </w:pPr>
      <w:r>
        <w:rPr>
          <w:rFonts w:ascii="Times New Roman"/>
          <w:b w:val="false"/>
          <w:i w:val="false"/>
          <w:color w:val="000000"/>
          <w:sz w:val="28"/>
        </w:rPr>
        <w:t>
      4-тармақ мынадай редакцияда жазылсын:</w:t>
      </w:r>
    </w:p>
    <w:bookmarkEnd w:id="0"/>
    <w:p>
      <w:pPr>
        <w:spacing w:after="0"/>
        <w:ind w:left="0"/>
        <w:jc w:val="both"/>
      </w:pPr>
      <w:r>
        <w:rPr>
          <w:rFonts w:ascii="Times New Roman"/>
          <w:b w:val="false"/>
          <w:i w:val="false"/>
          <w:color w:val="000000"/>
          <w:sz w:val="28"/>
        </w:rPr>
        <w:t>
      "4. Ашық валюталық позицияның лимиттерi есепті апта ішінде кез келген шетел валютасы (тазартылған бағалы металл) бойынша асып түскен жағдайда кейiнгi 3 (үш) апта iшiнде бұзушылық жіберген банк үшін бұзылған валюталар (тазартылған бағалы металдар) бойынша ашық валюталық позициялардың лимиттерi осы Қағидалардың 3-тармағында белгiленген ашық валюталық позиция лимиттерiнен 5 (бес) пайыздық тармаққа азаюымен айқындалады.</w:t>
      </w:r>
    </w:p>
    <w:p>
      <w:pPr>
        <w:spacing w:after="0"/>
        <w:ind w:left="0"/>
        <w:jc w:val="both"/>
      </w:pPr>
      <w:r>
        <w:rPr>
          <w:rFonts w:ascii="Times New Roman"/>
          <w:b w:val="false"/>
          <w:i w:val="false"/>
          <w:color w:val="000000"/>
          <w:sz w:val="28"/>
        </w:rPr>
        <w:t>
      Жеке алынған шетел валютасы (тазартылған бағалы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байланыссыз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2022 жылғы 31 мамыр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6 (алты)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bookmarkStart w:name="z11"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12" w:id="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
    <w:bookmarkStart w:name="z13" w:id="3"/>
    <w:p>
      <w:pPr>
        <w:spacing w:after="0"/>
        <w:ind w:left="0"/>
        <w:jc w:val="both"/>
      </w:pPr>
      <w:r>
        <w:rPr>
          <w:rFonts w:ascii="Times New Roman"/>
          <w:b w:val="false"/>
          <w:i w:val="false"/>
          <w:color w:val="000000"/>
          <w:sz w:val="28"/>
        </w:rPr>
        <w:t xml:space="preserve">
      4. Осы қаулы алғашқы ресми жарияланған күнінен бастап күшіне енеді. Банктің осы қаулының 1-тармағының бесінші, отыз төртінші, қырық төртінші, жетпіс бірінші, сексен алтыншы абзацтарында көрсетілген пруденциялық нормативтерді және сақталуы міндетті өзге де нормалар мен лимиттерді және банк капиталының мөлшерін және ашық валюталық позиция лимиттерін бұзуы осы қаулы қолданысқа енгізілгенге дейін анықталған жағдайларда осы қаулының 1-тармағының тоғызыншы, отыз сегізінші, қырық сегізінші, жетпіс бесінші, тоқсаныншы абзацтарында көзделген мерзім осы қаулы қолданысқа енгізілген күннен бастап есептеледі. Осы қаулының 1-тармағының жетпіс сегізінші абзацы 2022 жылғы 21 ақпаннан бастап туындаған құқықтық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w:t>
            </w:r>
            <w:r>
              <w:rPr>
                <w:rFonts w:ascii="Times New Roman"/>
                <w:b/>
                <w:i w:val="false"/>
                <w:color w:val="000000"/>
                <w:sz w:val="20"/>
              </w:rPr>
              <w:t>рмалар агенттігінің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6 сәуірдегі</w:t>
            </w:r>
            <w:r>
              <w:br/>
            </w:r>
            <w:r>
              <w:rPr>
                <w:rFonts w:ascii="Times New Roman"/>
                <w:b w:val="false"/>
                <w:i w:val="false"/>
                <w:color w:val="000000"/>
                <w:sz w:val="20"/>
              </w:rPr>
              <w:t>№ 28 қаулыға</w:t>
            </w:r>
            <w:r>
              <w:br/>
            </w:r>
            <w:r>
              <w:rPr>
                <w:rFonts w:ascii="Times New Roman"/>
                <w:b w:val="false"/>
                <w:i w:val="false"/>
                <w:color w:val="000000"/>
                <w:sz w:val="20"/>
              </w:rPr>
              <w:t>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Қолжетімді тұрақты қорландыру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