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2e28" w14:textId="ed12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саласындағы басым қызмет түрлерінің тізбесін және меншікті өндірістің өлшемшарттарын бекіту туралы" Қазақстан Республикасының Цифрлық даму, қорғаныс және аэроғарыш өнеркәсібі министрінің 2019 жылғы 11 сәуірдегі № 37/НҚ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19 сәуірдегі № 130/НҚ бұйрығы. Қазақстан Республикасының Әділет министрлігінде 2022 жылғы 27 сәуірде № 27788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"Ақпараттық-коммуникациялық технологиялар саласындағы басым қызмет түрлерінің тізбесін және меншікті өндірістің өлшемшарттарын бекіту туралы" Қазақстан Республикасының Цифрлық даму, қорғаныс және аэроғарыш өнеркәсібі министрінің 2019 жылғы 11 сәуірдегі № 37/НҚ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18523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Ақпараттық-коммуникациялық технологиялар саласындағы басым қызмет түрлерінің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Есептеу операцияларын орындау және деректерді өңдеу үшін кешенді есептеу инфрақұрылымымен қамтамасыз ету бойынша көрсетілетін қызметтер (цифрлық майнинг бойынша қызметті жүзеге асыратын тұлғаларға инфрақұрылым ұсынатын деректерді өңдеу орталықтарын (Data-орталықтарды) қоспағанда).";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меншікті өндірістің </w:t>
      </w:r>
      <w:r>
        <w:rPr>
          <w:rFonts w:ascii="Times New Roman"/>
          <w:b w:val="false"/>
          <w:i w:val="false"/>
          <w:color w:val="000000"/>
          <w:sz w:val="28"/>
        </w:rPr>
        <w:t>өлшемшарттары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министрлігінің Ақпараттық және ақпараттық-коммуникациялық технологияларды дамыту департаменті заңнамада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Республикасының Цифрлық даму, инновациялар және аэроғарыш өнеркәсібі министрлігінің Заң департаментіне ұсынуды қамтамасыз етсін.</w:t>
      </w:r>
    </w:p>
    <w:bookmarkStart w:name="z6" w:id="1"/>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Цифрлық даму, инновациялар және аэроғарыш өнеркәсібі вице-министріне жүктелсін.</w:t>
      </w:r>
    </w:p>
    <w:bookmarkEnd w:id="1"/>
    <w:bookmarkStart w:name="z7"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 </w:t>
            </w:r>
          </w:p>
          <w:p>
            <w:pPr>
              <w:spacing w:after="20"/>
              <w:ind w:left="20"/>
              <w:jc w:val="both"/>
            </w:pPr>
            <w:r>
              <w:rPr>
                <w:rFonts w:ascii="Times New Roman"/>
                <w:b w:val="false"/>
                <w:i/>
                <w:color w:val="000000"/>
                <w:sz w:val="20"/>
              </w:rPr>
              <w:t xml:space="preserve">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 </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 Ұлттық</w:t>
            </w:r>
          </w:p>
          <w:p>
            <w:pPr>
              <w:spacing w:after="20"/>
              <w:ind w:left="20"/>
              <w:jc w:val="both"/>
            </w:pPr>
            <w:r>
              <w:rPr>
                <w:rFonts w:ascii="Times New Roman"/>
                <w:b/>
                <w:i w:val="false"/>
                <w:color w:val="000000"/>
                <w:sz w:val="20"/>
              </w:rPr>
              <w:t>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19 сәуірдегі</w:t>
            </w:r>
            <w:r>
              <w:br/>
            </w:r>
            <w:r>
              <w:rPr>
                <w:rFonts w:ascii="Times New Roman"/>
                <w:b w:val="false"/>
                <w:i w:val="false"/>
                <w:color w:val="000000"/>
                <w:sz w:val="20"/>
              </w:rPr>
              <w:t>№ 130/НҚ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қорғаныс 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11 сәуірдегі</w:t>
            </w:r>
            <w:r>
              <w:br/>
            </w:r>
            <w:r>
              <w:rPr>
                <w:rFonts w:ascii="Times New Roman"/>
                <w:b w:val="false"/>
                <w:i w:val="false"/>
                <w:color w:val="000000"/>
                <w:sz w:val="20"/>
              </w:rPr>
              <w:t>№ 37/НҚ бұйрығына</w:t>
            </w:r>
            <w:r>
              <w:br/>
            </w:r>
            <w:r>
              <w:rPr>
                <w:rFonts w:ascii="Times New Roman"/>
                <w:b w:val="false"/>
                <w:i w:val="false"/>
                <w:color w:val="000000"/>
                <w:sz w:val="20"/>
              </w:rPr>
              <w:t>2-қосымша</w:t>
            </w:r>
          </w:p>
        </w:tc>
      </w:tr>
    </w:tbl>
    <w:bookmarkStart w:name="z9" w:id="3"/>
    <w:p>
      <w:pPr>
        <w:spacing w:after="0"/>
        <w:ind w:left="0"/>
        <w:jc w:val="left"/>
      </w:pPr>
      <w:r>
        <w:rPr>
          <w:rFonts w:ascii="Times New Roman"/>
          <w:b/>
          <w:i w:val="false"/>
          <w:color w:val="000000"/>
        </w:rPr>
        <w:t xml:space="preserve"> Меншікті тауарлар өндірісінің өлшемшарттары</w:t>
      </w:r>
    </w:p>
    <w:bookmarkEnd w:id="3"/>
    <w:p>
      <w:pPr>
        <w:spacing w:after="0"/>
        <w:ind w:left="0"/>
        <w:jc w:val="left"/>
      </w:pPr>
    </w:p>
    <w:p>
      <w:pPr>
        <w:spacing w:after="0"/>
        <w:ind w:left="0"/>
        <w:jc w:val="both"/>
      </w:pPr>
      <w:r>
        <w:rPr>
          <w:rFonts w:ascii="Times New Roman"/>
          <w:b w:val="false"/>
          <w:i w:val="false"/>
          <w:color w:val="000000"/>
          <w:sz w:val="28"/>
        </w:rPr>
        <w:t xml:space="preserve">
      1. Осы меншікті өндірістің өлшемшарттары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293-бабының</w:t>
      </w:r>
      <w:r>
        <w:rPr>
          <w:rFonts w:ascii="Times New Roman"/>
          <w:b w:val="false"/>
          <w:i w:val="false"/>
          <w:color w:val="000000"/>
          <w:sz w:val="28"/>
        </w:rPr>
        <w:t xml:space="preserve"> 4-3 тармағына сәйкес әзірленген және "Астана Хаб" халықаралық технологиялық паркіне қатысушылардың меншікті тауарлар өндірісінің өлшемшарттарын белгілейді.</w:t>
      </w:r>
    </w:p>
    <w:bookmarkStart w:name="z11" w:id="4"/>
    <w:p>
      <w:pPr>
        <w:spacing w:after="0"/>
        <w:ind w:left="0"/>
        <w:jc w:val="both"/>
      </w:pPr>
      <w:r>
        <w:rPr>
          <w:rFonts w:ascii="Times New Roman"/>
          <w:b w:val="false"/>
          <w:i w:val="false"/>
          <w:color w:val="000000"/>
          <w:sz w:val="28"/>
        </w:rPr>
        <w:t>
      2. Меншікті өндірістің өлшемшарттары мыналар болып табылады:</w:t>
      </w:r>
    </w:p>
    <w:bookmarkEnd w:id="4"/>
    <w:p>
      <w:pPr>
        <w:spacing w:after="0"/>
        <w:ind w:left="0"/>
        <w:jc w:val="both"/>
      </w:pPr>
      <w:r>
        <w:rPr>
          <w:rFonts w:ascii="Times New Roman"/>
          <w:b w:val="false"/>
          <w:i w:val="false"/>
          <w:color w:val="000000"/>
          <w:sz w:val="28"/>
        </w:rPr>
        <w:t xml:space="preserve">
      1)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сәйкес "СТ-КZ" нысанындағы тауардың шығарылуы туралы сертификаттың бар болуы.</w:t>
      </w:r>
    </w:p>
    <w:p>
      <w:pPr>
        <w:spacing w:after="0"/>
        <w:ind w:left="0"/>
        <w:jc w:val="both"/>
      </w:pPr>
      <w:r>
        <w:rPr>
          <w:rFonts w:ascii="Times New Roman"/>
          <w:b w:val="false"/>
          <w:i w:val="false"/>
          <w:color w:val="000000"/>
          <w:sz w:val="28"/>
        </w:rPr>
        <w:t xml:space="preserve">
      2) "Қазақстан Республикасының Ұлттық Кәсіпкерлер палатасы туралы" Қазақстан Республикасы Заңының 21-бабы </w:t>
      </w:r>
      <w:r>
        <w:rPr>
          <w:rFonts w:ascii="Times New Roman"/>
          <w:b w:val="false"/>
          <w:i w:val="false"/>
          <w:color w:val="000000"/>
          <w:sz w:val="28"/>
        </w:rPr>
        <w:t>4-тармағының</w:t>
      </w:r>
      <w:r>
        <w:rPr>
          <w:rFonts w:ascii="Times New Roman"/>
          <w:b w:val="false"/>
          <w:i w:val="false"/>
          <w:color w:val="000000"/>
          <w:sz w:val="28"/>
        </w:rPr>
        <w:t xml:space="preserve"> 13) тармақшасына сәйкес индустриялық сертификаттың бар болуы.</w:t>
      </w:r>
    </w:p>
    <w:bookmarkStart w:name="z12" w:id="5"/>
    <w:p>
      <w:pPr>
        <w:spacing w:after="0"/>
        <w:ind w:left="0"/>
        <w:jc w:val="both"/>
      </w:pPr>
      <w:r>
        <w:rPr>
          <w:rFonts w:ascii="Times New Roman"/>
          <w:b w:val="false"/>
          <w:i w:val="false"/>
          <w:color w:val="000000"/>
          <w:sz w:val="28"/>
        </w:rPr>
        <w:t>
      3. Осы Қосымшаның 2-тармағында көрсетілген өлшемшарттарының бірінің болуы меншікті өндірісті айқындау үшін жеткілікті болып табылады.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