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236b" w14:textId="fdb2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сервисімен интеграциялау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8 шiлдедегi № 236/НҚ бұйрығы. Қазақстан Республикасының Әділет министрлігінде 2022 жылғы 13 шiлдеде № 28786 болып тіркелді</w:t>
      </w:r>
    </w:p>
    <w:p>
      <w:pPr>
        <w:spacing w:after="0"/>
        <w:ind w:left="0"/>
        <w:jc w:val="left"/>
      </w:pP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w:t>
      </w:r>
      <w:r>
        <w:rPr>
          <w:rFonts w:ascii="Times New Roman"/>
          <w:b w:val="false"/>
          <w:i w:val="false"/>
          <w:color w:val="000000"/>
          <w:sz w:val="28"/>
        </w:rPr>
        <w:t xml:space="preserve"> 7-4)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Дербес деректерге қол жеткізуді мемлекеттік бақылау сервисімен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2022 жылғы 8 шілдедегі</w:t>
            </w:r>
            <w:r>
              <w:br/>
            </w:r>
            <w:r>
              <w:rPr>
                <w:rFonts w:ascii="Times New Roman"/>
                <w:b w:val="false"/>
                <w:i w:val="false"/>
                <w:color w:val="000000"/>
                <w:sz w:val="20"/>
              </w:rPr>
              <w:t>№ 236/НҚ Бұйрықпен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Дербес деректерге қол жеткізуді мемлекеттік бақылау сервисімен интеграциялау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Дербес деректерге қол жеткізуді мемлекеттік бақылау сервисімен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"Дербес деректер және оларды қорғау туралы" Қазақстан Республикасы Заңының (бұдан әрі – Заң) 27-1-бабы </w:t>
      </w:r>
      <w:r>
        <w:rPr>
          <w:rFonts w:ascii="Times New Roman"/>
          <w:b w:val="false"/>
          <w:i w:val="false"/>
          <w:color w:val="000000"/>
          <w:sz w:val="28"/>
        </w:rPr>
        <w:t>1-тармағының</w:t>
      </w:r>
      <w:r>
        <w:rPr>
          <w:rFonts w:ascii="Times New Roman"/>
          <w:b w:val="false"/>
          <w:i w:val="false"/>
          <w:color w:val="000000"/>
          <w:sz w:val="28"/>
        </w:rPr>
        <w:t xml:space="preserve"> 7-4) тармақшасына сәйкес әзірленді және дербес деректерге қол жеткізуді мемлекеттік бақылаудың сервисімен интеграциялау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бастамашы – жеке деректерге қол жеткізуге сұрау салуға бастамашы болатын ақпараттық жүйе;</w:t>
      </w:r>
    </w:p>
    <w:bookmarkEnd w:id="8"/>
    <w:bookmarkStart w:name="z15" w:id="9"/>
    <w:p>
      <w:pPr>
        <w:spacing w:after="0"/>
        <w:ind w:left="0"/>
        <w:jc w:val="both"/>
      </w:pPr>
      <w:r>
        <w:rPr>
          <w:rFonts w:ascii="Times New Roman"/>
          <w:b w:val="false"/>
          <w:i w:val="false"/>
          <w:color w:val="000000"/>
          <w:sz w:val="28"/>
        </w:rPr>
        <w:t>
      2)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9"/>
    <w:bookmarkStart w:name="z16" w:id="10"/>
    <w:p>
      <w:pPr>
        <w:spacing w:after="0"/>
        <w:ind w:left="0"/>
        <w:jc w:val="both"/>
      </w:pPr>
      <w:r>
        <w:rPr>
          <w:rFonts w:ascii="Times New Roman"/>
          <w:b w:val="false"/>
          <w:i w:val="false"/>
          <w:color w:val="000000"/>
          <w:sz w:val="28"/>
        </w:rPr>
        <w:t>
      3)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0"/>
    <w:bookmarkStart w:name="z17" w:id="11"/>
    <w:p>
      <w:pPr>
        <w:spacing w:after="0"/>
        <w:ind w:left="0"/>
        <w:jc w:val="both"/>
      </w:pPr>
      <w:r>
        <w:rPr>
          <w:rFonts w:ascii="Times New Roman"/>
          <w:b w:val="false"/>
          <w:i w:val="false"/>
          <w:color w:val="000000"/>
          <w:sz w:val="28"/>
        </w:rPr>
        <w:t>
      4) дербес деректер субъектісі (бұдан әрі – субъект) – дербес деректер тиесілі жеке тұлға;</w:t>
      </w:r>
    </w:p>
    <w:bookmarkEnd w:id="11"/>
    <w:bookmarkStart w:name="z18" w:id="12"/>
    <w:p>
      <w:pPr>
        <w:spacing w:after="0"/>
        <w:ind w:left="0"/>
        <w:jc w:val="both"/>
      </w:pPr>
      <w:r>
        <w:rPr>
          <w:rFonts w:ascii="Times New Roman"/>
          <w:b w:val="false"/>
          <w:i w:val="false"/>
          <w:color w:val="000000"/>
          <w:sz w:val="28"/>
        </w:rPr>
        <w:t>
      5)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w:t>
      </w:r>
    </w:p>
    <w:bookmarkEnd w:id="13"/>
    <w:bookmarkStart w:name="z20" w:id="14"/>
    <w:p>
      <w:pPr>
        <w:spacing w:after="0"/>
        <w:ind w:left="0"/>
        <w:jc w:val="both"/>
      </w:pPr>
      <w:r>
        <w:rPr>
          <w:rFonts w:ascii="Times New Roman"/>
          <w:b w:val="false"/>
          <w:i w:val="false"/>
          <w:color w:val="000000"/>
          <w:sz w:val="28"/>
        </w:rPr>
        <w:t>
      7)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Меншік иелері және (немесе) операторлар, үшінші тұлғалар дербес деректерді қамтитын мемлекеттік органдардың және (немесе) мемлекеттік заңды тұлғалардың ақпараттандыру объектілерімен өзара іс-қимыл жасаған жағдайда, Заңның </w:t>
      </w:r>
      <w:r>
        <w:rPr>
          <w:rFonts w:ascii="Times New Roman"/>
          <w:b w:val="false"/>
          <w:i w:val="false"/>
          <w:color w:val="000000"/>
          <w:sz w:val="28"/>
        </w:rPr>
        <w:t>9-бабының</w:t>
      </w:r>
      <w:r>
        <w:rPr>
          <w:rFonts w:ascii="Times New Roman"/>
          <w:b w:val="false"/>
          <w:i w:val="false"/>
          <w:color w:val="000000"/>
          <w:sz w:val="28"/>
        </w:rPr>
        <w:t xml:space="preserve">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Start w:name="z22" w:id="15"/>
    <w:p>
      <w:pPr>
        <w:spacing w:after="0"/>
        <w:ind w:left="0"/>
        <w:jc w:val="left"/>
      </w:pPr>
      <w:r>
        <w:rPr>
          <w:rFonts w:ascii="Times New Roman"/>
          <w:b/>
          <w:i w:val="false"/>
          <w:color w:val="000000"/>
        </w:rPr>
        <w:t xml:space="preserve"> 2-тарау. Дербес деректерге қол жеткізуді мемлекеттік бақылау сервисімен интеграциялау тәртібі</w:t>
      </w:r>
    </w:p>
    <w:bookmarkEnd w:id="15"/>
    <w:bookmarkStart w:name="z23" w:id="16"/>
    <w:p>
      <w:pPr>
        <w:spacing w:after="0"/>
        <w:ind w:left="0"/>
        <w:jc w:val="both"/>
      </w:pPr>
      <w:r>
        <w:rPr>
          <w:rFonts w:ascii="Times New Roman"/>
          <w:b w:val="false"/>
          <w:i w:val="false"/>
          <w:color w:val="000000"/>
          <w:sz w:val="28"/>
        </w:rPr>
        <w:t>
      4. Мемлекеттік сервиспен интеграциялау үшін "Smart Bridge" платформасында (бұдан әрі – платформа) өтінім беріледі.</w:t>
      </w:r>
    </w:p>
    <w:bookmarkEnd w:id="16"/>
    <w:bookmarkStart w:name="z24" w:id="17"/>
    <w:p>
      <w:pPr>
        <w:spacing w:after="0"/>
        <w:ind w:left="0"/>
        <w:jc w:val="both"/>
      </w:pPr>
      <w:r>
        <w:rPr>
          <w:rFonts w:ascii="Times New Roman"/>
          <w:b w:val="false"/>
          <w:i w:val="false"/>
          <w:color w:val="000000"/>
          <w:sz w:val="28"/>
        </w:rPr>
        <w:t>
      5. Өтінім дербес деректерге қол жеткізуді бақылау/"KDP_SERVICE" сервисіне беріледі.</w:t>
      </w:r>
    </w:p>
    <w:bookmarkEnd w:id="17"/>
    <w:bookmarkStart w:name="z25" w:id="18"/>
    <w:p>
      <w:pPr>
        <w:spacing w:after="0"/>
        <w:ind w:left="0"/>
        <w:jc w:val="both"/>
      </w:pPr>
      <w:r>
        <w:rPr>
          <w:rFonts w:ascii="Times New Roman"/>
          <w:b w:val="false"/>
          <w:i w:val="false"/>
          <w:color w:val="000000"/>
          <w:sz w:val="28"/>
        </w:rPr>
        <w:t>
      6. Өтінімді толтыру платформаның нұсқаулықтарына сәйкес жүзеге асырылады.</w:t>
      </w:r>
    </w:p>
    <w:bookmarkEnd w:id="18"/>
    <w:bookmarkStart w:name="z26" w:id="19"/>
    <w:p>
      <w:pPr>
        <w:spacing w:after="0"/>
        <w:ind w:left="0"/>
        <w:jc w:val="both"/>
      </w:pPr>
      <w:r>
        <w:rPr>
          <w:rFonts w:ascii="Times New Roman"/>
          <w:b w:val="false"/>
          <w:i w:val="false"/>
          <w:color w:val="000000"/>
          <w:sz w:val="28"/>
        </w:rPr>
        <w:t>
      7. Өтінім берген кезде субъектіден дербес деректерді жинауға, өңдеуге немесе оларды үшінші тұлғаларға беруге келісімді (бас тарту) алуды қоса алғанда, дербес деректерге қол жеткізу үшін сұрау салуды жіберудің мынадай тәсілдерінің бірі көрсетіледі:</w:t>
      </w:r>
    </w:p>
    <w:bookmarkEnd w:id="19"/>
    <w:bookmarkStart w:name="z27" w:id="20"/>
    <w:p>
      <w:pPr>
        <w:spacing w:after="0"/>
        <w:ind w:left="0"/>
        <w:jc w:val="both"/>
      </w:pPr>
      <w:r>
        <w:rPr>
          <w:rFonts w:ascii="Times New Roman"/>
          <w:b w:val="false"/>
          <w:i w:val="false"/>
          <w:color w:val="000000"/>
          <w:sz w:val="28"/>
        </w:rPr>
        <w:t>
      1) "1414" Бірыңғай байланыс орталығы арқылы сұрау салу/жауап беру – бұл тәсіл бастамашыларға және (немесе) операторларға қолжетімді;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бастамашының және (немесе) оператордың құралдарымен сұрау салу/жауап беру – бұл тәсіл ақпараттық жүйелері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келетін мемлекеттік орган және (немесе) мемлекеттік заңды тұлға болып табылмайтын,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11-1) тармақшасына сәйкес уәкілетті мемлекеттік орган берген ақпараттық қауіпсіздік талаптарына сәйкестігіне сынақ актісі бар (бұдан әрі – сынақ актісі). бастамашыларға және операторларға қолжетімді.</w:t>
      </w:r>
    </w:p>
    <w:bookmarkStart w:name="z29" w:id="21"/>
    <w:p>
      <w:pPr>
        <w:spacing w:after="0"/>
        <w:ind w:left="0"/>
        <w:jc w:val="both"/>
      </w:pPr>
      <w:r>
        <w:rPr>
          <w:rFonts w:ascii="Times New Roman"/>
          <w:b w:val="false"/>
          <w:i w:val="false"/>
          <w:color w:val="000000"/>
          <w:sz w:val="28"/>
        </w:rPr>
        <w:t>
      8. Бастамашының және (немесе) оператордың құралдарымен сұрау салу/жауап беру тәсілін таңдау кезінде мемлекеттік сервиспен интеграциялауға арналған өтінімде сынақтар актісі қоса беріледі.</w:t>
      </w:r>
    </w:p>
    <w:bookmarkEnd w:id="21"/>
    <w:bookmarkStart w:name="z30" w:id="22"/>
    <w:p>
      <w:pPr>
        <w:spacing w:after="0"/>
        <w:ind w:left="0"/>
        <w:jc w:val="both"/>
      </w:pPr>
      <w:r>
        <w:rPr>
          <w:rFonts w:ascii="Times New Roman"/>
          <w:b w:val="false"/>
          <w:i w:val="false"/>
          <w:color w:val="000000"/>
          <w:sz w:val="28"/>
        </w:rPr>
        <w:t>
      9. Уәкілетті органның мемлекеттік сервиспен интеграциялауға арналған өтінімді қарау мерзімдері мен тәртібі 10 (он) жұмыс күнінен аспайды.</w:t>
      </w:r>
    </w:p>
    <w:bookmarkEnd w:id="22"/>
    <w:bookmarkStart w:name="z31" w:id="23"/>
    <w:p>
      <w:pPr>
        <w:spacing w:after="0"/>
        <w:ind w:left="0"/>
        <w:jc w:val="both"/>
      </w:pPr>
      <w:r>
        <w:rPr>
          <w:rFonts w:ascii="Times New Roman"/>
          <w:b w:val="false"/>
          <w:i w:val="false"/>
          <w:color w:val="000000"/>
          <w:sz w:val="28"/>
        </w:rPr>
        <w:t>
      10. Мемлекеттік сервиспен интеграциялауға арналған өтінімді қарастырғаннан кейін бастамашы және (немесе) оператор:</w:t>
      </w:r>
    </w:p>
    <w:bookmarkEnd w:id="23"/>
    <w:bookmarkStart w:name="z32" w:id="24"/>
    <w:p>
      <w:pPr>
        <w:spacing w:after="0"/>
        <w:ind w:left="0"/>
        <w:jc w:val="both"/>
      </w:pPr>
      <w:r>
        <w:rPr>
          <w:rFonts w:ascii="Times New Roman"/>
          <w:b w:val="false"/>
          <w:i w:val="false"/>
          <w:color w:val="000000"/>
          <w:sz w:val="28"/>
        </w:rPr>
        <w:t>
      1) мемлекеттік сервистің сұрау салулары мен жауаптарының мысалдары арқылы платформа бетінде көрсетілген қызмет ету процесінің сипаттамасын қамтитын техникалық құжаттаманың өзекті нұсқасын жүктеп алады;</w:t>
      </w:r>
    </w:p>
    <w:bookmarkEnd w:id="24"/>
    <w:bookmarkStart w:name="z33" w:id="25"/>
    <w:p>
      <w:pPr>
        <w:spacing w:after="0"/>
        <w:ind w:left="0"/>
        <w:jc w:val="both"/>
      </w:pPr>
      <w:r>
        <w:rPr>
          <w:rFonts w:ascii="Times New Roman"/>
          <w:b w:val="false"/>
          <w:i w:val="false"/>
          <w:color w:val="000000"/>
          <w:sz w:val="28"/>
        </w:rPr>
        <w:t>
      2) сұрау салу/жауап беру тәсілін таңдау кезінде бастамашының және (немесе) оператордың құралдарымен дербес деректерге қол жеткізуге сұрау салуға бастамашы болған ұйымның электрондық цифрлық қолтаңбасы кілтінің ашық бөлігі мемлекеттік сервис платформасы парақшасында көрсетілген байланыс тұлғасына беріледі.</w:t>
      </w:r>
    </w:p>
    <w:bookmarkEnd w:id="25"/>
    <w:bookmarkStart w:name="z34" w:id="26"/>
    <w:p>
      <w:pPr>
        <w:spacing w:after="0"/>
        <w:ind w:left="0"/>
        <w:jc w:val="both"/>
      </w:pPr>
      <w:r>
        <w:rPr>
          <w:rFonts w:ascii="Times New Roman"/>
          <w:b w:val="false"/>
          <w:i w:val="false"/>
          <w:color w:val="000000"/>
          <w:sz w:val="28"/>
        </w:rPr>
        <w:t>
      11. ЭҮШ және мемлекеттік сервистің тесттік ортасында бастамашы тестілеу актісін қалыптастырып, қауіпсіздік токенімен он сәтті жауап өткізеді және оны платформадағы өтініммен бірге қоса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Тестілеу актісі қаралғаннан кейін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ЭҮШ және мемлекеттік сервистің өнімді ортасында интеграциялау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