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f5d3" w14:textId="d8bf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Көміртегі квоталарының ұлттық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2022 жылғы 11 шiлдедегi № 525 бұйрығы. Қазақстан Республикасының Әділет министрлігінде 2022 жылғы 13 шiлдеде № 28798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 290-бабының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Көміртегі квоталарының ұлттық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Климаттық саясат және жасыл технологиялар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ресми жарияланғаннан кейін Қазақстан Республикасы Экология, геология және табиғи ресурстар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тіркегеннен кейін он жұмыс күні ішінде Қазақстан Республикасы Экология, геология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орындалауы туралы мәліметтердің ұсынылуын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Энергетика министрлігі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525 бұйрығымен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Көміртегі квоталарының Ұлттық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Ұлттық жоспар жаңа редакцияда – ҚР Экология және табиғи ресурстар министрінің 30.01.2024 </w:t>
      </w:r>
      <w:r>
        <w:rPr>
          <w:rFonts w:ascii="Times New Roman"/>
          <w:b w:val="false"/>
          <w:i w:val="false"/>
          <w:color w:val="ff0000"/>
          <w:sz w:val="28"/>
        </w:rPr>
        <w:t>№ 16-Ө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Экономиканың реттелетін секторлары бойынша квоталау субъектілері арасында бөлінуге жататын көміртегі квотасы бірліктерінің жалпы саны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Экономиканың реттелетін секторы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көміртегі квотасы бірліктерінің саны, көміртегі қос тотығының тоннасы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арналған көміртегі квотасы бірліктерінің саны, көміртегі қос тотығының тоннасы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арналған көміртегі квотасы бірліктерінің саны, көміртегі қос тотығының тоннасы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көміртегі квотасы бірліктерінің саны, көміртегі қос тотығының тоннасы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энергетикасы өнеркәсібі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95 304 595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93 872 608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94 343 363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23 039 146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22 692 974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22 921 486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өнеркәсібі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7 334 212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7 224 012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Металлургиялық өнеркәсіп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30 747 135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30 285 148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30 383 809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Химиялық өндіріс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(құрылыс материалдары: цемент, әктас, гипс және кірпіш өндіру бөлігінде)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8 019 802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7 899 302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9 109 279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квотасы бірліктері резервінің көлемі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11 816 923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11 643 887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9 275 603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