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dd36" w14:textId="fdcd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17 тамыздағы № 371 бұйрығы. Қазақстан Республикасының Әділет министрлігінде 2022 жылғы 23 тамызда № 29223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Қазақтан Республикасы Білім және ғылым министрінің 2011 жылғы 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7355 болып тіркелген) келесі мынадай өзгертулер мен толықтырулар енгізілсін:</w:t>
      </w:r>
    </w:p>
    <w:bookmarkStart w:name="z2" w:id="0"/>
    <w:p>
      <w:pPr>
        <w:spacing w:after="0"/>
        <w:ind w:left="0"/>
        <w:jc w:val="both"/>
      </w:pPr>
      <w:r>
        <w:rPr>
          <w:rFonts w:ascii="Times New Roman"/>
          <w:b w:val="false"/>
          <w:i w:val="false"/>
          <w:color w:val="000000"/>
          <w:sz w:val="28"/>
        </w:rPr>
        <w:t>
      бұйрықтың тақырыбы мынадай редакцияда жазылсын:</w:t>
      </w:r>
    </w:p>
    <w:bookmarkEnd w:id="0"/>
    <w:p>
      <w:pPr>
        <w:spacing w:after="0"/>
        <w:ind w:left="0"/>
        <w:jc w:val="both"/>
      </w:pPr>
      <w:r>
        <w:rPr>
          <w:rFonts w:ascii="Times New Roman"/>
          <w:b w:val="false"/>
          <w:i w:val="false"/>
          <w:color w:val="000000"/>
          <w:sz w:val="28"/>
        </w:rPr>
        <w:t>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"Қоса беріліп отыр:</w:t>
      </w:r>
    </w:p>
    <w:p>
      <w:pPr>
        <w:spacing w:after="0"/>
        <w:ind w:left="0"/>
        <w:jc w:val="both"/>
      </w:pPr>
      <w:r>
        <w:rPr>
          <w:rFonts w:ascii="Times New Roman"/>
          <w:b w:val="false"/>
          <w:i w:val="false"/>
          <w:color w:val="000000"/>
          <w:sz w:val="28"/>
        </w:rPr>
        <w:t>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 осы бұйрыққа 1-қосымшаға сәйкес;</w:t>
      </w:r>
    </w:p>
    <w:p>
      <w:pPr>
        <w:spacing w:after="0"/>
        <w:ind w:left="0"/>
        <w:jc w:val="both"/>
      </w:pPr>
      <w:r>
        <w:rPr>
          <w:rFonts w:ascii="Times New Roman"/>
          <w:b w:val="false"/>
          <w:i w:val="false"/>
          <w:color w:val="000000"/>
          <w:sz w:val="28"/>
        </w:rPr>
        <w:t>
      2)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іріктеу өлшемшарттары осы бұйрыққа 2-қосымшаға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r>
        <w:rPr>
          <w:rFonts w:ascii="Times New Roman"/>
          <w:b w:val="false"/>
          <w:i w:val="false"/>
          <w:color w:val="000000"/>
          <w:sz w:val="28"/>
        </w:rPr>
        <w:t>тізбесі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жоғарғы оң жақ бұрышы мынадай редакцияда жазылсын:</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7 желтоқсандағы</w:t>
            </w:r>
            <w:r>
              <w:br/>
            </w:r>
            <w:r>
              <w:rPr>
                <w:rFonts w:ascii="Times New Roman"/>
                <w:b w:val="false"/>
                <w:i w:val="false"/>
                <w:color w:val="000000"/>
                <w:sz w:val="20"/>
              </w:rPr>
              <w:t>№ 514 бұйрығына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іріктеу өлшемшарттары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 w:id="2"/>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4"/>
    <w:bookmarkStart w:name="z11" w:id="5"/>
    <w:p>
      <w:pPr>
        <w:spacing w:after="0"/>
        <w:ind w:left="0"/>
        <w:jc w:val="both"/>
      </w:pPr>
      <w:r>
        <w:rPr>
          <w:rFonts w:ascii="Times New Roman"/>
          <w:b w:val="false"/>
          <w:i w:val="false"/>
          <w:color w:val="000000"/>
          <w:sz w:val="28"/>
        </w:rPr>
        <w:t>
      3) мемлекеттік тіркеуден өткеннен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Оқу-ағарту министрлігінің Заң қызметі департаментіне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"Қазақтан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7 желтоқсандағы</w:t>
            </w:r>
            <w:r>
              <w:br/>
            </w:r>
            <w:r>
              <w:rPr>
                <w:rFonts w:ascii="Times New Roman"/>
                <w:b w:val="false"/>
                <w:i w:val="false"/>
                <w:color w:val="000000"/>
                <w:sz w:val="20"/>
              </w:rPr>
              <w:t>№ 514 бұйрығына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іріктеу өлшемшарттары</w:t>
      </w:r>
    </w:p>
    <w:bookmarkEnd w:id="8"/>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мәдениет қағидаларын сақтау:</w:t>
            </w:r>
          </w:p>
          <w:p>
            <w:pPr>
              <w:spacing w:after="20"/>
              <w:ind w:left="20"/>
              <w:jc w:val="both"/>
            </w:pPr>
            <w:r>
              <w:rPr>
                <w:rFonts w:ascii="Times New Roman"/>
                <w:b w:val="false"/>
                <w:i w:val="false"/>
                <w:color w:val="000000"/>
                <w:sz w:val="20"/>
              </w:rPr>
              <w:t>
- академиялық стандарттарға бейілділік, білім беру, ғылыми және шығармашылық қызметті ұйымдастырудағы адалдық және принциптілік (1 балл);</w:t>
            </w:r>
          </w:p>
          <w:p>
            <w:pPr>
              <w:spacing w:after="20"/>
              <w:ind w:left="20"/>
              <w:jc w:val="both"/>
            </w:pPr>
            <w:r>
              <w:rPr>
                <w:rFonts w:ascii="Times New Roman"/>
                <w:b w:val="false"/>
                <w:i w:val="false"/>
                <w:color w:val="000000"/>
                <w:sz w:val="20"/>
              </w:rPr>
              <w:t>
- іс-шараның өзектілігі, жаңалығы, ашықтығы және айқындығы (1 балл);</w:t>
            </w:r>
          </w:p>
          <w:p>
            <w:pPr>
              <w:spacing w:after="20"/>
              <w:ind w:left="20"/>
              <w:jc w:val="both"/>
            </w:pPr>
            <w:r>
              <w:rPr>
                <w:rFonts w:ascii="Times New Roman"/>
                <w:b w:val="false"/>
                <w:i w:val="false"/>
                <w:color w:val="000000"/>
                <w:sz w:val="20"/>
              </w:rPr>
              <w:t>
- зияткерлік меншік құқықтарын сақтау (антиплагиат) (1 балл);</w:t>
            </w:r>
          </w:p>
          <w:p>
            <w:pPr>
              <w:spacing w:after="20"/>
              <w:ind w:left="20"/>
              <w:jc w:val="both"/>
            </w:pPr>
            <w:r>
              <w:rPr>
                <w:rFonts w:ascii="Times New Roman"/>
                <w:b w:val="false"/>
                <w:i w:val="false"/>
                <w:color w:val="000000"/>
                <w:sz w:val="20"/>
              </w:rPr>
              <w:t>
- прокторинг, бейнетіркеу жүйесінің болуы (1 балл);</w:t>
            </w:r>
          </w:p>
          <w:p>
            <w:pPr>
              <w:spacing w:after="20"/>
              <w:ind w:left="20"/>
              <w:jc w:val="both"/>
            </w:pPr>
            <w:r>
              <w:rPr>
                <w:rFonts w:ascii="Times New Roman"/>
                <w:b w:val="false"/>
                <w:i w:val="false"/>
                <w:color w:val="000000"/>
                <w:sz w:val="20"/>
              </w:rPr>
              <w:t>
- іс-шараның барлық қатысушылары үшін құқықтар мен бостандықтарды құрметтеу, қол жетімділік пен тең мүмкіндіктерді қамтамасыз ету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моделін құру принципі:</w:t>
            </w:r>
          </w:p>
          <w:p>
            <w:pPr>
              <w:spacing w:after="20"/>
              <w:ind w:left="20"/>
              <w:jc w:val="both"/>
            </w:pPr>
            <w:r>
              <w:rPr>
                <w:rFonts w:ascii="Times New Roman"/>
                <w:b w:val="false"/>
                <w:i w:val="false"/>
                <w:color w:val="000000"/>
                <w:sz w:val="20"/>
              </w:rPr>
              <w:t>
- өткізу тұрақтылығы мен мерзімділігі (3 жылдан кем емес) (1 балл);</w:t>
            </w:r>
          </w:p>
          <w:p>
            <w:pPr>
              <w:spacing w:after="20"/>
              <w:ind w:left="20"/>
              <w:jc w:val="both"/>
            </w:pPr>
            <w:r>
              <w:rPr>
                <w:rFonts w:ascii="Times New Roman"/>
                <w:b w:val="false"/>
                <w:i w:val="false"/>
                <w:color w:val="000000"/>
                <w:sz w:val="20"/>
              </w:rPr>
              <w:t>
- ауқымдылығы (өңірлік деңгейден республикалық, халықаралық деңгейге дейін) (1 балл);</w:t>
            </w:r>
          </w:p>
          <w:p>
            <w:pPr>
              <w:spacing w:after="20"/>
              <w:ind w:left="20"/>
              <w:jc w:val="both"/>
            </w:pPr>
            <w:r>
              <w:rPr>
                <w:rFonts w:ascii="Times New Roman"/>
                <w:b w:val="false"/>
                <w:i w:val="false"/>
                <w:color w:val="000000"/>
                <w:sz w:val="20"/>
              </w:rPr>
              <w:t>
- жаппай (әр түрлі жастағы қатысушылардың қамтылуы) (1 балл);</w:t>
            </w:r>
          </w:p>
          <w:p>
            <w:pPr>
              <w:spacing w:after="20"/>
              <w:ind w:left="20"/>
              <w:jc w:val="both"/>
            </w:pPr>
            <w:r>
              <w:rPr>
                <w:rFonts w:ascii="Times New Roman"/>
                <w:b w:val="false"/>
                <w:i w:val="false"/>
                <w:color w:val="000000"/>
                <w:sz w:val="20"/>
              </w:rPr>
              <w:t>
- ұсынылған өткізу моделінің әртүрлілігі (өткізу кезеңдері, алаңдарды таңдау, пәндер тобтарын бөлу)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қамтамасыз ету шарттары:</w:t>
            </w:r>
          </w:p>
          <w:p>
            <w:pPr>
              <w:spacing w:after="20"/>
              <w:ind w:left="20"/>
              <w:jc w:val="both"/>
            </w:pPr>
            <w:r>
              <w:rPr>
                <w:rFonts w:ascii="Times New Roman"/>
                <w:b w:val="false"/>
                <w:i w:val="false"/>
                <w:color w:val="000000"/>
                <w:sz w:val="20"/>
              </w:rPr>
              <w:t>
- өткізу ережелері мен шарттарының болуы (ережелер, нұсқаулықтар, бағдарламалар) (1 балл);</w:t>
            </w:r>
          </w:p>
          <w:p>
            <w:pPr>
              <w:spacing w:after="20"/>
              <w:ind w:left="20"/>
              <w:jc w:val="both"/>
            </w:pPr>
            <w:r>
              <w:rPr>
                <w:rFonts w:ascii="Times New Roman"/>
                <w:b w:val="false"/>
                <w:i w:val="false"/>
                <w:color w:val="000000"/>
                <w:sz w:val="20"/>
              </w:rPr>
              <w:t>
- бағалау критерийлерін ескере отырып, өткен жылдардағы мысалдар мен тапсырмалар базасының болуы (1 балл);</w:t>
            </w:r>
          </w:p>
          <w:p>
            <w:pPr>
              <w:spacing w:after="20"/>
              <w:ind w:left="20"/>
              <w:jc w:val="both"/>
            </w:pPr>
            <w:r>
              <w:rPr>
                <w:rFonts w:ascii="Times New Roman"/>
                <w:b w:val="false"/>
                <w:i w:val="false"/>
                <w:color w:val="000000"/>
                <w:sz w:val="20"/>
              </w:rPr>
              <w:t>
- көтермелеу жүйесі, өткен жылдардың жеңімпаздары мен жүлдегерлері туралы ақпараттың болуы (3 жылдан кем емес) (1 балл);</w:t>
            </w:r>
          </w:p>
          <w:p>
            <w:pPr>
              <w:spacing w:after="20"/>
              <w:ind w:left="20"/>
              <w:jc w:val="both"/>
            </w:pPr>
            <w:r>
              <w:rPr>
                <w:rFonts w:ascii="Times New Roman"/>
                <w:b w:val="false"/>
                <w:i w:val="false"/>
                <w:color w:val="000000"/>
                <w:sz w:val="20"/>
              </w:rPr>
              <w:t>
- іс-шараға қатысушылардың жас нормалары мен психологиялық ерекшеліктеріне сәйкестігі (1 балл);</w:t>
            </w:r>
          </w:p>
          <w:p>
            <w:pPr>
              <w:spacing w:after="20"/>
              <w:ind w:left="20"/>
              <w:jc w:val="both"/>
            </w:pPr>
            <w:r>
              <w:rPr>
                <w:rFonts w:ascii="Times New Roman"/>
                <w:b w:val="false"/>
                <w:i w:val="false"/>
                <w:color w:val="000000"/>
                <w:sz w:val="20"/>
              </w:rPr>
              <w:t>
- қатысушыларды психологиялық қолдау және сүйемелдеу (1 балл);</w:t>
            </w:r>
          </w:p>
          <w:p>
            <w:pPr>
              <w:spacing w:after="20"/>
              <w:ind w:left="20"/>
              <w:jc w:val="both"/>
            </w:pPr>
            <w:r>
              <w:rPr>
                <w:rFonts w:ascii="Times New Roman"/>
                <w:b w:val="false"/>
                <w:i w:val="false"/>
                <w:color w:val="000000"/>
                <w:sz w:val="20"/>
              </w:rPr>
              <w:t>
- қатысушылардың олимпиадалық дайындығы мен өткізу сапасының мониторингінің болуы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шарттары:</w:t>
            </w:r>
          </w:p>
          <w:p>
            <w:pPr>
              <w:spacing w:after="20"/>
              <w:ind w:left="20"/>
              <w:jc w:val="both"/>
            </w:pPr>
            <w:r>
              <w:rPr>
                <w:rFonts w:ascii="Times New Roman"/>
                <w:b w:val="false"/>
                <w:i w:val="false"/>
                <w:color w:val="000000"/>
                <w:sz w:val="20"/>
              </w:rPr>
              <w:t>
- олимпиадаға немесе іс-шараларға тегін қол жеткізуді қамтамасыз ету (1 балл);</w:t>
            </w:r>
          </w:p>
          <w:p>
            <w:pPr>
              <w:spacing w:after="20"/>
              <w:ind w:left="20"/>
              <w:jc w:val="both"/>
            </w:pPr>
            <w:r>
              <w:rPr>
                <w:rFonts w:ascii="Times New Roman"/>
                <w:b w:val="false"/>
                <w:i w:val="false"/>
                <w:color w:val="000000"/>
                <w:sz w:val="20"/>
              </w:rPr>
              <w:t>
- қауіпсіз және жайлы ортаны қамтамасыз ету (1 балл);</w:t>
            </w:r>
          </w:p>
          <w:p>
            <w:pPr>
              <w:spacing w:after="20"/>
              <w:ind w:left="20"/>
              <w:jc w:val="both"/>
            </w:pPr>
            <w:r>
              <w:rPr>
                <w:rFonts w:ascii="Times New Roman"/>
                <w:b w:val="false"/>
                <w:i w:val="false"/>
                <w:color w:val="000000"/>
                <w:sz w:val="20"/>
              </w:rPr>
              <w:t>
-желілік өзара іс-қимылды (сұрақ-жауаптар, пікірлер) және өткізудің интеграцияланған жүйесін (күндізгі және қашықтықтан) ұйымдастыру (1 балл);</w:t>
            </w:r>
          </w:p>
          <w:p>
            <w:pPr>
              <w:spacing w:after="20"/>
              <w:ind w:left="20"/>
              <w:jc w:val="both"/>
            </w:pPr>
            <w:r>
              <w:rPr>
                <w:rFonts w:ascii="Times New Roman"/>
                <w:b w:val="false"/>
                <w:i w:val="false"/>
                <w:color w:val="000000"/>
                <w:sz w:val="20"/>
              </w:rPr>
              <w:t>
- қазылар алқасының сапалы және кәсіби құрамын, оның қызметінің объективтілігі мен ашықтығын қамтамасыз ету (1 балл);</w:t>
            </w:r>
          </w:p>
          <w:p>
            <w:pPr>
              <w:spacing w:after="20"/>
              <w:ind w:left="20"/>
              <w:jc w:val="both"/>
            </w:pPr>
            <w:r>
              <w:rPr>
                <w:rFonts w:ascii="Times New Roman"/>
                <w:b w:val="false"/>
                <w:i w:val="false"/>
                <w:color w:val="000000"/>
                <w:sz w:val="20"/>
              </w:rPr>
              <w:t>
- өткізу қорытындысы бойынша апелляция жүйесінің болуы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 және ақпараттық орта:</w:t>
            </w:r>
          </w:p>
          <w:p>
            <w:pPr>
              <w:spacing w:after="20"/>
              <w:ind w:left="20"/>
              <w:jc w:val="both"/>
            </w:pPr>
            <w:r>
              <w:rPr>
                <w:rFonts w:ascii="Times New Roman"/>
                <w:b w:val="false"/>
                <w:i w:val="false"/>
                <w:color w:val="000000"/>
                <w:sz w:val="20"/>
              </w:rPr>
              <w:t>
- қатысушыларды педагогтердің әдістемелік, ақпараттық қолдауымен қамтамасыз ету (1 балл);</w:t>
            </w:r>
          </w:p>
          <w:p>
            <w:pPr>
              <w:spacing w:after="20"/>
              <w:ind w:left="20"/>
              <w:jc w:val="both"/>
            </w:pPr>
            <w:r>
              <w:rPr>
                <w:rFonts w:ascii="Times New Roman"/>
                <w:b w:val="false"/>
                <w:i w:val="false"/>
                <w:color w:val="000000"/>
                <w:sz w:val="20"/>
              </w:rPr>
              <w:t>
- дарынды және талантты тұлғаларды анықтау, мотивациялық орта құру (1 балл);</w:t>
            </w:r>
          </w:p>
          <w:p>
            <w:pPr>
              <w:spacing w:after="20"/>
              <w:ind w:left="20"/>
              <w:jc w:val="both"/>
            </w:pPr>
            <w:r>
              <w:rPr>
                <w:rFonts w:ascii="Times New Roman"/>
                <w:b w:val="false"/>
                <w:i w:val="false"/>
                <w:color w:val="000000"/>
                <w:sz w:val="20"/>
              </w:rPr>
              <w:t>
- жариялылық (ұйымдастырушылар мен серіктестер), қатысушылардың, ата-аналардың, ғылыми және педагогикалық, шығармашылық қоғамдастықтың пікірлерінің болуы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жоғары</w:t>
            </w:r>
          </w:p>
        </w:tc>
      </w:tr>
    </w:tbl>
    <w:p>
      <w:pPr>
        <w:spacing w:after="0"/>
        <w:ind w:left="0"/>
        <w:jc w:val="both"/>
      </w:pPr>
      <w:r>
        <w:rPr>
          <w:rFonts w:ascii="Times New Roman"/>
          <w:b w:val="false"/>
          <w:i w:val="false"/>
          <w:color w:val="000000"/>
          <w:sz w:val="28"/>
        </w:rPr>
        <w:t>
      Жалпы білім беретін пәндер бойынша республикалық және халықаралық олимпиадалар мен ғылыми жобалар конкурстарын (ғылыми жарыстар), орындаушылар конкурстарын, кәсіби шеберлік конкурстарын және спорттық жарыстарды (бұдан әрі – іс-шаралар) іріктеу кестеде көрсетілген өлшемшарттарға сәйкес жүзеге асырылады.</w:t>
      </w:r>
    </w:p>
    <w:p>
      <w:pPr>
        <w:spacing w:after="0"/>
        <w:ind w:left="0"/>
        <w:jc w:val="both"/>
      </w:pPr>
      <w:r>
        <w:rPr>
          <w:rFonts w:ascii="Times New Roman"/>
          <w:b w:val="false"/>
          <w:i w:val="false"/>
          <w:color w:val="000000"/>
          <w:sz w:val="28"/>
        </w:rPr>
        <w:t>
      Өлшемдердің болуын және жарамдылығын растау үшін ұйымдар келесі материалдарды ұсынады:</w:t>
      </w:r>
    </w:p>
    <w:p>
      <w:pPr>
        <w:spacing w:after="0"/>
        <w:ind w:left="0"/>
        <w:jc w:val="both"/>
      </w:pPr>
      <w:r>
        <w:rPr>
          <w:rFonts w:ascii="Times New Roman"/>
          <w:b w:val="false"/>
          <w:i w:val="false"/>
          <w:color w:val="000000"/>
          <w:sz w:val="28"/>
        </w:rPr>
        <w:t>
      1. Аналитикалық анықтама (масштабын, бұқаралығын, кәсіби мәртебесін, дереккөздерге сілтемелерін көрсете отырып)</w:t>
      </w:r>
    </w:p>
    <w:p>
      <w:pPr>
        <w:spacing w:after="0"/>
        <w:ind w:left="0"/>
        <w:jc w:val="both"/>
      </w:pPr>
      <w:r>
        <w:rPr>
          <w:rFonts w:ascii="Times New Roman"/>
          <w:b w:val="false"/>
          <w:i w:val="false"/>
          <w:color w:val="000000"/>
          <w:sz w:val="28"/>
        </w:rPr>
        <w:t>
      2. Іс-шараны өткізудің бекітілген ережелері.</w:t>
      </w:r>
    </w:p>
    <w:p>
      <w:pPr>
        <w:spacing w:after="0"/>
        <w:ind w:left="0"/>
        <w:jc w:val="both"/>
      </w:pPr>
      <w:r>
        <w:rPr>
          <w:rFonts w:ascii="Times New Roman"/>
          <w:b w:val="false"/>
          <w:i w:val="false"/>
          <w:color w:val="000000"/>
          <w:sz w:val="28"/>
        </w:rPr>
        <w:t>
      3. Материалдар жарияланған интернет-ресурстарға сілтемелер (электрондық формат):</w:t>
      </w:r>
    </w:p>
    <w:p>
      <w:pPr>
        <w:spacing w:after="0"/>
        <w:ind w:left="0"/>
        <w:jc w:val="both"/>
      </w:pPr>
      <w:r>
        <w:rPr>
          <w:rFonts w:ascii="Times New Roman"/>
          <w:b w:val="false"/>
          <w:i w:val="false"/>
          <w:color w:val="000000"/>
          <w:sz w:val="28"/>
        </w:rPr>
        <w:t>
      - іс-шараны өткізу ережелері мен шарттары (ережелер, нұсқаулықтар, бағдарламалар);</w:t>
      </w:r>
    </w:p>
    <w:p>
      <w:pPr>
        <w:spacing w:after="0"/>
        <w:ind w:left="0"/>
        <w:jc w:val="both"/>
      </w:pPr>
      <w:r>
        <w:rPr>
          <w:rFonts w:ascii="Times New Roman"/>
          <w:b w:val="false"/>
          <w:i w:val="false"/>
          <w:color w:val="000000"/>
          <w:sz w:val="28"/>
        </w:rPr>
        <w:t>
      - өткен жылдардың мысалдары мен тапсырмалары бар материалдар, бағалау өлшемшарттарын ескере отырып;</w:t>
      </w:r>
    </w:p>
    <w:p>
      <w:pPr>
        <w:spacing w:after="0"/>
        <w:ind w:left="0"/>
        <w:jc w:val="both"/>
      </w:pPr>
      <w:r>
        <w:rPr>
          <w:rFonts w:ascii="Times New Roman"/>
          <w:b w:val="false"/>
          <w:i w:val="false"/>
          <w:color w:val="000000"/>
          <w:sz w:val="28"/>
        </w:rPr>
        <w:t>
      - көтермелеу жүйесі, өткен жылдардың жеңімпаздары мен жүлдегерлері туралы ақпарат (3 жылдық);</w:t>
      </w:r>
    </w:p>
    <w:p>
      <w:pPr>
        <w:spacing w:after="0"/>
        <w:ind w:left="0"/>
        <w:jc w:val="both"/>
      </w:pPr>
      <w:r>
        <w:rPr>
          <w:rFonts w:ascii="Times New Roman"/>
          <w:b w:val="false"/>
          <w:i w:val="false"/>
          <w:color w:val="000000"/>
          <w:sz w:val="28"/>
        </w:rPr>
        <w:t>
      - қатысушыларды психологиялық қолдау және сүйемелдеу жұмысының жоспары;</w:t>
      </w:r>
    </w:p>
    <w:p>
      <w:pPr>
        <w:spacing w:after="0"/>
        <w:ind w:left="0"/>
        <w:jc w:val="both"/>
      </w:pPr>
      <w:r>
        <w:rPr>
          <w:rFonts w:ascii="Times New Roman"/>
          <w:b w:val="false"/>
          <w:i w:val="false"/>
          <w:color w:val="000000"/>
          <w:sz w:val="28"/>
        </w:rPr>
        <w:t>
      - қатысушылардың олимпиадалық дайындығы мен өткізу сапасының мониторингінің нәтижелері.</w:t>
      </w:r>
    </w:p>
    <w:p>
      <w:pPr>
        <w:spacing w:after="0"/>
        <w:ind w:left="0"/>
        <w:jc w:val="both"/>
      </w:pPr>
      <w:r>
        <w:rPr>
          <w:rFonts w:ascii="Times New Roman"/>
          <w:b w:val="false"/>
          <w:i w:val="false"/>
          <w:color w:val="000000"/>
          <w:sz w:val="28"/>
        </w:rPr>
        <w:t>
      Материалдар әр критерий мен дескриптордың болуы мен жарамдылығын растайды.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