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478c" w14:textId="9a04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көрсету туралы келісім нысанын бекіту туралы" Қазақстан Республикасы Әділет министрінің 2018 жылғы 27 қыркүйектегі № 1453 бұйрығына өзгеріс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1 қыркүйектегі № 744 бұйрығы. Қазақстан Республикасының Әділет министрлігінде 2022 жылғы 2 қыркүйекте № 29386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заң көмегін көрсету туралы келісім нысанын бекіту туралы" Қазақстан Республикасы Әділет министрінің 2018 жылғы 27 қыркүйектегі № 1453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17515 болып тіркелген) мынадай өзгеріс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 кепілдік берген заң көмегін көрсету туралы келісім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Адвокат құқықтық консультация беру түріндей мемлекет кепілдік берген заң көмегін көрсетеді: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алименттер өндіріп алу, зейнетақы мен жәрдемақылар тағайындау, ақтау, босқын немесе қандас мәртебесін алу мәселелері бойынша жеке тұлғаларға, ата-анасының қамқорлығынсыз қалған кәмелетке толмағандарға;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мәртебесіне немесе жағдайына байланысты құқықтары мен заңды мүдделерін қамтамасыз ету және қорғау мәселелері бойынша сексуалдық зорлық-зомбылық, адам саудасы, терроризм актісі құрбандарына не азаптауларға ұшыраған құрбандарға;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асыраушысының қайтыс болуынан келтірілген зиянды өтеу мәселелері бойынша жеке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жұмысына байланысты денсаулығының зақымдануынан келтірілген не қылмыстық құқық бұзушылықпен келтірілген зиянды өтеу мәселелері бойынша жеке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соғысына қатысушылар, жеңілдіктер бойынша Ұлы Отан соғысына қатысушыларға теңестірілген адамдар, сондай-ақ басқа мемлекеттердің аумағындағы ұрыс қимылдарының ардагерлері, мерзімді қызметтегі әскери қызметшілер, бірінші және екінші топтағы мүгедектігі бар адамдар, жасы бойынша зейнеткерлер болып табылатын, кәсіпкерлік қызметпен байланысты емес мәселелер бойынша жеке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кәсіпкерлік қызметпен байланысты емес мәселелер бойынша көпбалалы отбасыларға;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кәсіпкерлік қызметпен байланысты емес мәселелер бойынша жан басына шаққандағы орташа айлық кірістері облыстарда, республикалық маңызы бар қалаларда, астанада белгіленген кедейлік шегінен төмен табысы аз адамдарға (отбасыларға) осы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заңнамасында белгіленген тәртіппен көрсетіледі.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1-1-тармақ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Адвокат соттарда, қылмыстық қудалау органдарында, өзге де мемлекеттік органдар мен мемлекеттік емес ұйымдарда жеке тұлғалардың мүдделерін қорғау және білдіру түріндегі мемлекет кепілдік берген заң көмегін көрсетеді: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әкімшілік құқық бұзушылық туралы заңнамасына сәйкес әкімшілік жауаптылыққа тартылатын адамға;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азаматтық процестік заңнамасына сәйкес талап қоюшыға не жауапкерге және Қазақстан Республикасының әкімшілік сот ісін жүргізу туралы заңнамасына сәйкес талап қоюшыға;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қылмыстық-процестік заңнамасына сәйкес күдіктіге, айыпталушыға, сотталушыға, сотталған адамға, ақталған адамға, жәбірленушіге осы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заңнамасында белгіленген тәртіппен көрсетіледі.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бұйрықтың мемлекеттік тіркелуін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