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867d" w14:textId="86d8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 Төрағасының 2022 жылғы 28 ақпандағы № 20 және Қазақстан Республикасының Цифрлық даму, инновациялар және аэроғарыш өнеркәсібі министрінің 2022 жылғы 28 ақпандағы № 68/НҚ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талаптарды бекіту туралы"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13 қыркүйектегі № 30 және Қазақстан Республикасының Цифрлық даму, инновациялар және аэроғарыш өнеркәсібі министрінің 2022 жылғы 14 қыркүйектегі № 326/НҚ бірлескен бұйрығы. Қазақстан Республикасының Әділет министрлігінде 2022 жылғы 15 қыркүйекте № 29584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Қаржылық мониторинг агенттігі Төрағасының 2022 жылғы 28 ақпандағы № 20 және Қазақстан Республикасының Цифрлық даму, инновациялар және аэроғарыш өнеркәсібі министрінің 2022 жылғы 28 ақпандағы № 68/НҚ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талаптарды бекіту туралы"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26981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ішкі бақылау қағидаларына қойылатын талаптар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КЖ/ТҚҚ туралы Заңы)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"3. Осы Талаптарда мынадай негізгі ұғымдар пайдаланылады:</w:t>
      </w:r>
    </w:p>
    <w:bookmarkEnd w:id="3"/>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уәкілетті мемлекеттік органның желісі;</w:t>
      </w:r>
    </w:p>
    <w:p>
      <w:pPr>
        <w:spacing w:after="0"/>
        <w:ind w:left="0"/>
        <w:jc w:val="both"/>
      </w:pPr>
      <w:r>
        <w:rPr>
          <w:rFonts w:ascii="Times New Roman"/>
          <w:b w:val="false"/>
          <w:i w:val="false"/>
          <w:color w:val="000000"/>
          <w:sz w:val="28"/>
        </w:rPr>
        <w:t xml:space="preserve">
      2)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 – Субъектілерді КЖ/ТҚ/ЖҚҚТҚ заңдастыру немесе өзге де қылмыстық әрекет процестеріне әдейі немесе абайсызда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тәуекелдерін басқару – Субъектілердің КЖ/ТҚ/ЖҚҚТҚ заңдастыру тәуекелдерін мониторингтеу, анықтау, сондай-ақ оларды азайту (клиенттердің қызметтеріне қатысты) бойынша қабылдайтын шаралар жиынтығы;</w:t>
      </w:r>
    </w:p>
    <w:p>
      <w:pPr>
        <w:spacing w:after="0"/>
        <w:ind w:left="0"/>
        <w:jc w:val="both"/>
      </w:pPr>
      <w:r>
        <w:rPr>
          <w:rFonts w:ascii="Times New Roman"/>
          <w:b w:val="false"/>
          <w:i w:val="false"/>
          <w:color w:val="000000"/>
          <w:sz w:val="28"/>
        </w:rPr>
        <w:t>
      5) мінсіз іскерлік бедел – кәсібилікті, адалдықты, алынбаған немесе өтелмеген соттылығының жоқтығын растайтын фактілердің болуы, оның ішінде қаржы ұйымының, банк және (немесе) сақтандыру холдингінің басшы қызметкері лауазымын атқару және қаржы ұйымының ірі қатысушы (ірі акционер) болу өмір бойы құқығынан айыру түріндегі қылмыстық жазаны қолдану туралы заңды күшіне енген сот шешімінің болмауы;</w:t>
      </w:r>
    </w:p>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bookmarkStart w:name="z12" w:id="4"/>
    <w:p>
      <w:pPr>
        <w:spacing w:after="0"/>
        <w:ind w:left="0"/>
        <w:jc w:val="both"/>
      </w:pPr>
      <w:r>
        <w:rPr>
          <w:rFonts w:ascii="Times New Roman"/>
          <w:b w:val="false"/>
          <w:i w:val="false"/>
          <w:color w:val="000000"/>
          <w:sz w:val="28"/>
        </w:rPr>
        <w:t>
      4. Ішкі бақылау мынадай мақсаттарда жүзеге асырылады:</w:t>
      </w:r>
    </w:p>
    <w:bookmarkEnd w:id="4"/>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p>
      <w:pPr>
        <w:spacing w:after="0"/>
        <w:ind w:left="0"/>
        <w:jc w:val="both"/>
      </w:pPr>
      <w:r>
        <w:rPr>
          <w:rFonts w:ascii="Times New Roman"/>
          <w:b w:val="false"/>
          <w:i w:val="false"/>
          <w:color w:val="000000"/>
          <w:sz w:val="28"/>
        </w:rPr>
        <w:t>
      2) Субъектілердің ішкі бақылау жүйесінің тиімділігін КЖ/ТҚ/ЖҚҚТҚ заңдастыру тәуекелдерін басқару үшін жеткілікті деңгейде қолдау;</w:t>
      </w:r>
    </w:p>
    <w:p>
      <w:pPr>
        <w:spacing w:after="0"/>
        <w:ind w:left="0"/>
        <w:jc w:val="both"/>
      </w:pPr>
      <w:r>
        <w:rPr>
          <w:rFonts w:ascii="Times New Roman"/>
          <w:b w:val="false"/>
          <w:i w:val="false"/>
          <w:color w:val="000000"/>
          <w:sz w:val="28"/>
        </w:rPr>
        <w:t>
      3) КЖ/ТҚ/ЖҚҚТҚ заңдастыру тәуекелдерін азайту мақсатында жүзеге асырылады.</w:t>
      </w:r>
    </w:p>
    <w:bookmarkStart w:name="z13" w:id="5"/>
    <w:p>
      <w:pPr>
        <w:spacing w:after="0"/>
        <w:ind w:left="0"/>
        <w:jc w:val="both"/>
      </w:pPr>
      <w:r>
        <w:rPr>
          <w:rFonts w:ascii="Times New Roman"/>
          <w:b w:val="false"/>
          <w:i w:val="false"/>
          <w:color w:val="000000"/>
          <w:sz w:val="28"/>
        </w:rPr>
        <w:t>
      5. КЖ/ТҚ/ЖҚҚТҚҚІ мақсатында ішкі бақылауды ұйымдастыру шеңберінде Субъектілер:</w:t>
      </w:r>
    </w:p>
    <w:bookmarkEnd w:id="5"/>
    <w:p>
      <w:pPr>
        <w:spacing w:after="0"/>
        <w:ind w:left="0"/>
        <w:jc w:val="both"/>
      </w:pPr>
      <w:r>
        <w:rPr>
          <w:rFonts w:ascii="Times New Roman"/>
          <w:b w:val="false"/>
          <w:i w:val="false"/>
          <w:color w:val="000000"/>
          <w:sz w:val="28"/>
        </w:rPr>
        <w:t>
      1) ұйымның басқару органының немесе атқарушы органының тәуелсіз аудит жүргізуге шешімі болған жағдайда тәуелсіз аудитті, КЖ/ТҚ/ЖҚҚТҚҚІ мақсатында ішкі бақылау тиімділігін бағалауды ұйымның ішкі аудит қызметімен не ішкі аудит жүргізуге уәкілетті өзге органмен жүргізуін қамтитын ішкі бақылау қағидаларын Талаптарға сәйкес басқару органмен немесе атқарушы органмен әзірлеуі және қабылдауы;</w:t>
      </w:r>
    </w:p>
    <w:p>
      <w:pPr>
        <w:spacing w:after="0"/>
        <w:ind w:left="0"/>
        <w:jc w:val="both"/>
      </w:pPr>
      <w:r>
        <w:rPr>
          <w:rFonts w:ascii="Times New Roman"/>
          <w:b w:val="false"/>
          <w:i w:val="false"/>
          <w:color w:val="000000"/>
          <w:sz w:val="28"/>
        </w:rPr>
        <w:t>
      2) бөлінген байланыс арнасының болуын қамтамасыз етіледі.</w:t>
      </w:r>
    </w:p>
    <w:bookmarkStart w:name="z14" w:id="6"/>
    <w:p>
      <w:pPr>
        <w:spacing w:after="0"/>
        <w:ind w:left="0"/>
        <w:jc w:val="both"/>
      </w:pPr>
      <w:r>
        <w:rPr>
          <w:rFonts w:ascii="Times New Roman"/>
          <w:b w:val="false"/>
          <w:i w:val="false"/>
          <w:color w:val="000000"/>
          <w:sz w:val="28"/>
        </w:rPr>
        <w:t>
      6.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ІБҚ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w:t>
      </w:r>
    </w:p>
    <w:bookmarkStart w:name="z16" w:id="7"/>
    <w:p>
      <w:pPr>
        <w:spacing w:after="0"/>
        <w:ind w:left="0"/>
        <w:jc w:val="both"/>
      </w:pPr>
      <w:r>
        <w:rPr>
          <w:rFonts w:ascii="Times New Roman"/>
          <w:b w:val="false"/>
          <w:i w:val="false"/>
          <w:color w:val="000000"/>
          <w:sz w:val="28"/>
        </w:rPr>
        <w:t>
      8. ІБҚ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тағайындауды, сондай-ақ Субъектілердің ІБҚ-ның іске асырылуына және сақталуына жауапты қызметкерлеріне қойылатын өзге де талаптарды, оның ішінде мінсіз іскерлік беделінің болуын көздейді.";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8"/>
    <w:p>
      <w:pPr>
        <w:spacing w:after="0"/>
        <w:ind w:left="0"/>
        <w:jc w:val="both"/>
      </w:pPr>
      <w:r>
        <w:rPr>
          <w:rFonts w:ascii="Times New Roman"/>
          <w:b w:val="false"/>
          <w:i w:val="false"/>
          <w:color w:val="000000"/>
          <w:sz w:val="28"/>
        </w:rPr>
        <w:t>
      "2-тарау. Тиісті құрылымдық бөлімше басшысының деңгейінен төмен емес Субъектілердің өзге де басшыларының немесе Субъектілердің басшы қызметкерлер ішінен ІБҚ-ды іске асыруға және сақтауға жауапты тұлғаны тағайындау туралы талапты, сондай-ақ Субъектілердің ІБҚ-ды іске асыруға және сақтауға жауапты қызметкерлеріне, оның ішінде мінсіз іскерлік беделдің болуы туралы өзге де қойылатын талаптарды қоса алғанда КЖ/ТҚ/ЖҚҚТҚҚІ мақсатында ішкі бақылауды ұйымдастыру бағдарламасы";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"10. КЖ/ТҚ/ЖҚҚТҚҚІ мақсатында ішкі бақылауды ұйымдастыру бағдарламасы рәсімдерді қамтиды:</w:t>
      </w:r>
    </w:p>
    <w:bookmarkEnd w:id="9"/>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жүйелер мен бағдарламалық қамтамасыз етулерді қолдану;</w:t>
      </w:r>
    </w:p>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операцияларға тоқтатып қою жөнінде шаралар қолдану;</w:t>
      </w:r>
    </w:p>
    <w:p>
      <w:pPr>
        <w:spacing w:after="0"/>
        <w:ind w:left="0"/>
        <w:jc w:val="both"/>
      </w:pPr>
      <w:r>
        <w:rPr>
          <w:rFonts w:ascii="Times New Roman"/>
          <w:b w:val="false"/>
          <w:i w:val="false"/>
          <w:color w:val="000000"/>
          <w:sz w:val="28"/>
        </w:rPr>
        <w:t>
      3) Субъектілердің зерделенуге жататын күрделі, ерекше ірі және басқа да ерекше операцияны күдікті операция ретінде тану;</w:t>
      </w:r>
    </w:p>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қаржы мониторингіне жататын операциялар туралы мәліметтер мен ақпаратты, жеке тұлғаға іскерлік қатынастар орнатудан бас тарту, клиентпен іскерлік қатынастарды тоқтату, ақшамен және (немесе) өзге де мүлікпен операциялар жүргізуден бас тарту фактілерін ұсыну жолымен жүзеге асырылады;</w:t>
      </w:r>
    </w:p>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 белгілеген тәртіппен жүзеге асырылады;</w:t>
      </w:r>
    </w:p>
    <w:p>
      <w:pPr>
        <w:spacing w:after="0"/>
        <w:ind w:left="0"/>
        <w:jc w:val="both"/>
      </w:pPr>
      <w:r>
        <w:rPr>
          <w:rFonts w:ascii="Times New Roman"/>
          <w:b w:val="false"/>
          <w:i w:val="false"/>
          <w:color w:val="000000"/>
          <w:sz w:val="28"/>
        </w:rPr>
        <w:t>
      5) Субъект қызметкерлері жол берген, ІБҚ, Қазақстан Республикасы КЖ/ТҚҚ туралы заңнамасының бұзылу фактілерінің оларға белгілі болғаны туралы Субъект қызметкерлерінің басшыны хабардар ету;</w:t>
      </w:r>
    </w:p>
    <w:p>
      <w:pPr>
        <w:spacing w:after="0"/>
        <w:ind w:left="0"/>
        <w:jc w:val="both"/>
      </w:pPr>
      <w:r>
        <w:rPr>
          <w:rFonts w:ascii="Times New Roman"/>
          <w:b w:val="false"/>
          <w:i w:val="false"/>
          <w:color w:val="000000"/>
          <w:sz w:val="28"/>
        </w:rPr>
        <w:t>
      6) КЖ/ТҚ/ЖҚҚТҚҚІ мақсатында ІБҚ-ды іске асыруға және сақтауға жауапты тұлғаны ұйымның басқа бөлімшелерімен, персоналымен, филиалдарымен, уәкілетті органдармен және олардың лауазымды тұлғаларымен өзара іс-қимылы;</w:t>
      </w:r>
    </w:p>
    <w:p>
      <w:pPr>
        <w:spacing w:after="0"/>
        <w:ind w:left="0"/>
        <w:jc w:val="both"/>
      </w:pPr>
      <w:r>
        <w:rPr>
          <w:rFonts w:ascii="Times New Roman"/>
          <w:b w:val="false"/>
          <w:i w:val="false"/>
          <w:color w:val="000000"/>
          <w:sz w:val="28"/>
        </w:rPr>
        <w:t>
      7) ұйымды бақылайтын заңды тұлға белгілеген КЖ/ТҚ/ЖҚҚТҚҚІ (болған жағдайда) бойынша талаптарды орындау;</w:t>
      </w:r>
    </w:p>
    <w:p>
      <w:pPr>
        <w:spacing w:after="0"/>
        <w:ind w:left="0"/>
        <w:jc w:val="both"/>
      </w:pPr>
      <w:r>
        <w:rPr>
          <w:rFonts w:ascii="Times New Roman"/>
          <w:b w:val="false"/>
          <w:i w:val="false"/>
          <w:color w:val="000000"/>
          <w:sz w:val="28"/>
        </w:rPr>
        <w:t>
      8) ұйымды бақылауға ие заңды тұлғамен ұйымның басқару органының немесе атқарушы органының тәуелсіз аудит жүргізуге шешімі болған жағдайда тәуелсіз аудитті, ұйымның ішкі аудит қызметімен не ішкі аудитті жүргізуге уәкілетті өзге органмен КЖ/ТҚ/ЖҚҚТҚҚІ мақсатында ішкі бақылау тиімділігін бағалауды жүргізудің нәтижелері бойынша басқарушылық есептілікті органдарға және ұйымның лауазымды тұлғаларына дайындау және ұсыну;</w:t>
      </w:r>
    </w:p>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оның ішінде рәсімдердің ерекшеліктері жеңілдетілген және күшейтілген шараларды қолдану, оның ішінде клиентті (оның өкілін) және бенефициарлық меншік иесін, бейрезидент-заңды тұлғаны, заңды тұлға құрмай өзге де шетелдік құрылымды тиісінше тексеру;</w:t>
      </w:r>
    </w:p>
    <w:p>
      <w:pPr>
        <w:spacing w:after="0"/>
        <w:ind w:left="0"/>
        <w:jc w:val="both"/>
      </w:pPr>
      <w:r>
        <w:rPr>
          <w:rFonts w:ascii="Times New Roman"/>
          <w:b w:val="false"/>
          <w:i w:val="false"/>
          <w:color w:val="000000"/>
          <w:sz w:val="28"/>
        </w:rPr>
        <w:t>
      10) КЖ/ТҚ/ЖҚҚТҚ заңдастыру типологияларына, схемалары мен тәсілдеріне сәйкес келетін сипаттамалары бар клиент операциясын күдікті ретінде тану;</w:t>
      </w:r>
    </w:p>
    <w:p>
      <w:pPr>
        <w:spacing w:after="0"/>
        <w:ind w:left="0"/>
        <w:jc w:val="both"/>
      </w:pPr>
      <w:r>
        <w:rPr>
          <w:rFonts w:ascii="Times New Roman"/>
          <w:b w:val="false"/>
          <w:i w:val="false"/>
          <w:color w:val="000000"/>
          <w:sz w:val="28"/>
        </w:rPr>
        <w:t>
      11) КЖ/ТҚ/ЖҚҚТҚ заңдастыру тәуекелдерін бағалау нәтижелерін бағалау, айқындау, құжаттамалық тіркеу және жаңарту;</w:t>
      </w:r>
    </w:p>
    <w:p>
      <w:pPr>
        <w:spacing w:after="0"/>
        <w:ind w:left="0"/>
        <w:jc w:val="both"/>
      </w:pPr>
      <w:r>
        <w:rPr>
          <w:rFonts w:ascii="Times New Roman"/>
          <w:b w:val="false"/>
          <w:i w:val="false"/>
          <w:color w:val="000000"/>
          <w:sz w:val="28"/>
        </w:rPr>
        <w:t>
      12) бақылау шараларын, КЖ/ТҚ/ЖҚҚТҚ заңдастыру тәуекелдерін басқару және КЖ/ТҚ жария ету тәуекелдерін төмендету жөніндегі рәсімдерді әзірлеу;</w:t>
      </w:r>
    </w:p>
    <w:p>
      <w:pPr>
        <w:spacing w:after="0"/>
        <w:ind w:left="0"/>
        <w:jc w:val="both"/>
      </w:pPr>
      <w:r>
        <w:rPr>
          <w:rFonts w:ascii="Times New Roman"/>
          <w:b w:val="false"/>
          <w:i w:val="false"/>
          <w:color w:val="000000"/>
          <w:sz w:val="28"/>
        </w:rPr>
        <w:t>
      13) КЖ/ТҚ/ЖҚҚТҚ заңдастыру тәуекелінің дәрежесін ескере отырып, өз клиенттерін жіктеу;</w:t>
      </w:r>
    </w:p>
    <w:p>
      <w:pPr>
        <w:spacing w:after="0"/>
        <w:ind w:left="0"/>
        <w:jc w:val="both"/>
      </w:pPr>
      <w:r>
        <w:rPr>
          <w:rFonts w:ascii="Times New Roman"/>
          <w:b w:val="false"/>
          <w:i w:val="false"/>
          <w:color w:val="000000"/>
          <w:sz w:val="28"/>
        </w:rPr>
        <w:t>
      14)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 ретінде пайдалану мүмкіндігі ескеріле отырып, олар уәкілетті органға, сондай-ақ өздерінің құзыретіне сәйкес өзге де мемлекеттік органдарға уақтылы қолжетімді болуы үшін сақталуы тиіс.</w:t>
      </w:r>
    </w:p>
    <w:p>
      <w:pPr>
        <w:spacing w:after="0"/>
        <w:ind w:left="0"/>
        <w:jc w:val="both"/>
      </w:pPr>
      <w:r>
        <w:rPr>
          <w:rFonts w:ascii="Times New Roman"/>
          <w:b w:val="false"/>
          <w:i w:val="false"/>
          <w:color w:val="000000"/>
          <w:sz w:val="28"/>
        </w:rPr>
        <w:t>
      Субъектінің КЖ/ТҚ/ЖҚҚТҚҚІ мақсатында ішкі бақылауды ұйымдастыру бойынша қосымша шараларды бағдарламаға енгізуіне жол беріледі.</w:t>
      </w:r>
    </w:p>
    <w:p>
      <w:pPr>
        <w:spacing w:after="0"/>
        <w:ind w:left="0"/>
        <w:jc w:val="both"/>
      </w:pPr>
      <w:r>
        <w:rPr>
          <w:rFonts w:ascii="Times New Roman"/>
          <w:b w:val="false"/>
          <w:i w:val="false"/>
          <w:color w:val="000000"/>
          <w:sz w:val="28"/>
        </w:rPr>
        <w:t>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арасынан ІБҚ-ның іске асырылуына және сақталуына жауапты адамды (бұдан әрі – жауапты қызметкер), сондай-ақ Субъектілердің ІБҚ-ның іске асырылуына және сақталуына жауапты қызметкерлерін (бұдан әрі – КЖ/ТҚҚ/ЖҚҚТҚІ жөніндегі бөлімшенің қызметкері) тағайындайды.</w:t>
      </w:r>
    </w:p>
    <w:p>
      <w:pPr>
        <w:spacing w:after="0"/>
        <w:ind w:left="0"/>
        <w:jc w:val="both"/>
      </w:pPr>
      <w:r>
        <w:rPr>
          <w:rFonts w:ascii="Times New Roman"/>
          <w:b w:val="false"/>
          <w:i w:val="false"/>
          <w:color w:val="000000"/>
          <w:sz w:val="28"/>
        </w:rPr>
        <w:t>
      Жауапты қызметкер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ақпараттандыру саласында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ақпараттандыру саласында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bookmarkStart w:name="z21" w:id="10"/>
    <w:p>
      <w:pPr>
        <w:spacing w:after="0"/>
        <w:ind w:left="0"/>
        <w:jc w:val="both"/>
      </w:pPr>
      <w:r>
        <w:rPr>
          <w:rFonts w:ascii="Times New Roman"/>
          <w:b w:val="false"/>
          <w:i w:val="false"/>
          <w:color w:val="000000"/>
          <w:sz w:val="28"/>
        </w:rPr>
        <w:t>
      11. КЖ/ТҚ/ЖҚҚТҚҚІ мақсатында ішкі бақылауды ұйымдастыру бағдарламасына сәйкес жауапты лауазымды тұлғаның не құрылымдық бөлімшенің функциялары:</w:t>
      </w:r>
    </w:p>
    <w:bookmarkEnd w:id="10"/>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ІБҚ іске асыру және сақтау мониторингі;</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КЖ/ТҚ/ЖҚҚТҚ заңдастыру типологияларына, схемалары мен тәсілдеріне сәйкес келетін сипаттамалары бар операцияларға күрделі, ерекше ірі операцияларға жатқызу туралы шешімдер қабылдау;</w:t>
      </w:r>
    </w:p>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p>
      <w:pPr>
        <w:spacing w:after="0"/>
        <w:ind w:left="0"/>
        <w:jc w:val="both"/>
      </w:pPr>
      <w:r>
        <w:rPr>
          <w:rFonts w:ascii="Times New Roman"/>
          <w:b w:val="false"/>
          <w:i w:val="false"/>
          <w:color w:val="000000"/>
          <w:sz w:val="28"/>
        </w:rPr>
        <w:t>
      13) КЖ/ТҚҚ туралы заңнаманың орындалуын бақылауды жүзеге асыру үшін уәкілетті органға ақпарат ұсыну;</w:t>
      </w:r>
    </w:p>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w:t>
      </w:r>
    </w:p>
    <w:p>
      <w:pPr>
        <w:spacing w:after="0"/>
        <w:ind w:left="0"/>
        <w:jc w:val="both"/>
      </w:pPr>
      <w:r>
        <w:rPr>
          <w:rFonts w:ascii="Times New Roman"/>
          <w:b w:val="false"/>
          <w:i w:val="false"/>
          <w:color w:val="000000"/>
          <w:sz w:val="28"/>
        </w:rPr>
        <w:t>
      15) ІБҚ іске асыру нәтижелері және Субъект басшысына есептер қалыптастыру үшін КЖ/ТҚ/ЖҚҚТҚ заңдастыру тәуекелдерін басқару және КЖ/ТҚ/ЖҚҚТҚҚІ ішкі бақылау жүйесін жақсарту бойынша ұсынылатын шаралар туралы ақпарат дайындау;</w:t>
      </w:r>
    </w:p>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 болып табылады.</w:t>
      </w:r>
    </w:p>
    <w:bookmarkStart w:name="z22" w:id="11"/>
    <w:p>
      <w:pPr>
        <w:spacing w:after="0"/>
        <w:ind w:left="0"/>
        <w:jc w:val="both"/>
      </w:pPr>
      <w:r>
        <w:rPr>
          <w:rFonts w:ascii="Times New Roman"/>
          <w:b w:val="false"/>
          <w:i w:val="false"/>
          <w:color w:val="000000"/>
          <w:sz w:val="28"/>
        </w:rPr>
        <w:t>
      12. Жүктелген функцияларға сәйкес Субъектілер:</w:t>
      </w:r>
    </w:p>
    <w:bookmarkEnd w:id="11"/>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3)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қосуға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КЖ/ТҚҚ туралы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клиенттерді ақшамен және (немесе) өзге мүлікпен жасалатын операцияларды тоқтату бойынша қабылданған шаралар туралы, іскерлік қатынастарды орнатудан бас тарту туралы, сондай-ақ ақшамен және (немесе) өзге мүлікпен жасалатын операцияларды жүргізуден бас тарту туралы хабардар етуді қоспағанда, клиенттерді және өзге тұлғаларды осындай клиенттерге және өзге де тұлғаларға қатысты қабылданатын КЖ/ТҚ/ЖҚҚТҚҚІ бойынша шаралар туралы хабардар етуге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Филиалдарда, өкілдіктерде және өзге де оқшауланған құрылымдық бөлімшелерде осы Талаптардың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жауапты қызметкерге, сондай-ақ КЖ/ТҚҚ/ЖҚҚТҚІ жөніндегі бөлімше қызметкерлеріне жүктелген функциялар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үйлеспейді.";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2"/>
    <w:p>
      <w:pPr>
        <w:spacing w:after="0"/>
        <w:ind w:left="0"/>
        <w:jc w:val="both"/>
      </w:pPr>
      <w:r>
        <w:rPr>
          <w:rFonts w:ascii="Times New Roman"/>
          <w:b w:val="false"/>
          <w:i w:val="false"/>
          <w:color w:val="000000"/>
          <w:sz w:val="28"/>
        </w:rPr>
        <w:t>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"16.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13"/>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p>
      <w:pPr>
        <w:spacing w:after="0"/>
        <w:ind w:left="0"/>
        <w:jc w:val="both"/>
      </w:pPr>
      <w:r>
        <w:rPr>
          <w:rFonts w:ascii="Times New Roman"/>
          <w:b w:val="false"/>
          <w:i w:val="false"/>
          <w:color w:val="000000"/>
          <w:sz w:val="28"/>
        </w:rPr>
        <w:t>
      1) Субъектінің КЖ/ТҚ/ЖҚҚТҚ заңдастыру тәуекелдерін басқаруды ұйымдастыру тәртібі, оның ішінде оның құрылымдық бөлімшелері (бар болса) бөлінісінде;</w:t>
      </w:r>
    </w:p>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заңдастыру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заңдастыру тәуекелдерін бағалау әдістемесін;</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заңдастыру тәуекелдеріне ұшырау дәрежесіне тұрақты мониторингті, талдауды және бақылауды жүзеге асыру тәртібі;</w:t>
      </w:r>
    </w:p>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p>
      <w:pPr>
        <w:spacing w:after="0"/>
        <w:ind w:left="0"/>
        <w:jc w:val="both"/>
      </w:pPr>
      <w:r>
        <w:rPr>
          <w:rFonts w:ascii="Times New Roman"/>
          <w:b w:val="false"/>
          <w:i w:val="false"/>
          <w:color w:val="000000"/>
          <w:sz w:val="28"/>
        </w:rPr>
        <w:t>
      Субъектілер жыл сайынғы негізде субъектілер қызметтерінің КЖ/ТҚ/ЖҚҚТҚ заңдастыру тәуекелдерінің есебіндегі ақпаратты және тәуекелдердің мынадай ерекше санаттарын ескере отырып, КЖ/ТҚ/ЖҚҚТҚ заңдастыру тәуекелдеріне ұшырағыштық дәрежесін бағалауды жүзеге асырады: клиенттердің типі бойынша тәуекел, елдік (географиялық) тәуекел, қызмет көрсету тәуекелі және (немесе) оны ұсыну тәсілі.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ұсынылады.</w:t>
      </w:r>
    </w:p>
    <w:bookmarkStart w:name="z30" w:id="14"/>
    <w:p>
      <w:pPr>
        <w:spacing w:after="0"/>
        <w:ind w:left="0"/>
        <w:jc w:val="both"/>
      </w:pPr>
      <w:r>
        <w:rPr>
          <w:rFonts w:ascii="Times New Roman"/>
          <w:b w:val="false"/>
          <w:i w:val="false"/>
          <w:color w:val="000000"/>
          <w:sz w:val="28"/>
        </w:rPr>
        <w:t>
      17. Мәртебесі және (немесе) қызметі КЖ/ТҚ/ЖҚҚТҚ заңдастыру тәуекелін арттыратын клиенттердің түрлеріне жатады, бірақ олармен шектелмейді:</w:t>
      </w:r>
    </w:p>
    <w:bookmarkEnd w:id="14"/>
    <w:p>
      <w:pPr>
        <w:spacing w:after="0"/>
        <w:ind w:left="0"/>
        <w:jc w:val="both"/>
      </w:pPr>
      <w:r>
        <w:rPr>
          <w:rFonts w:ascii="Times New Roman"/>
          <w:b w:val="false"/>
          <w:i w:val="false"/>
          <w:color w:val="000000"/>
          <w:sz w:val="28"/>
        </w:rPr>
        <w:t>
      1) жария лауазымды тұлғалар, олардың жұбайлары мен жақын туыстары, сондай-ақ аталған адамдар бенефициарлық иеленушілері болып табылатын заңды тұлғалар;</w:t>
      </w:r>
    </w:p>
    <w:p>
      <w:pPr>
        <w:spacing w:after="0"/>
        <w:ind w:left="0"/>
        <w:jc w:val="both"/>
      </w:pPr>
      <w:r>
        <w:rPr>
          <w:rFonts w:ascii="Times New Roman"/>
          <w:b w:val="false"/>
          <w:i w:val="false"/>
          <w:color w:val="000000"/>
          <w:sz w:val="28"/>
        </w:rPr>
        <w:t>
      2) азаматтығы жоқ адамдар;</w:t>
      </w:r>
    </w:p>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w:t>
      </w:r>
    </w:p>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p>
      <w:pPr>
        <w:spacing w:after="0"/>
        <w:ind w:left="0"/>
        <w:jc w:val="both"/>
      </w:pPr>
      <w:r>
        <w:rPr>
          <w:rFonts w:ascii="Times New Roman"/>
          <w:b w:val="false"/>
          <w:i w:val="false"/>
          <w:color w:val="000000"/>
          <w:sz w:val="28"/>
        </w:rPr>
        <w:t>
      9) өзіне қатысты Субъект бұрын күдік келтірген клиент;</w:t>
      </w:r>
    </w:p>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клиентті (оның өкілін) және бенефициарлық меншік иесін тиісінше тексеру рәсімдерінен жалтаруға бағытталған іс-әрекеттерді жасайды.</w:t>
      </w:r>
    </w:p>
    <w:bookmarkStart w:name="z31" w:id="15"/>
    <w:p>
      <w:pPr>
        <w:spacing w:after="0"/>
        <w:ind w:left="0"/>
        <w:jc w:val="both"/>
      </w:pPr>
      <w:r>
        <w:rPr>
          <w:rFonts w:ascii="Times New Roman"/>
          <w:b w:val="false"/>
          <w:i w:val="false"/>
          <w:color w:val="000000"/>
          <w:sz w:val="28"/>
        </w:rPr>
        <w:t>
      18. Мәртебесі және (немесе) қызметі КЖ/ТҚ/ЖҚҚТҚ заңдастыру тәуекелін төмендететін клиенттердің түрлері мыналарды қамтиды, бірақ олармен шектелмейді:</w:t>
      </w:r>
    </w:p>
    <w:bookmarkEnd w:id="15"/>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bookmarkStart w:name="z32" w:id="16"/>
    <w:p>
      <w:pPr>
        <w:spacing w:after="0"/>
        <w:ind w:left="0"/>
        <w:jc w:val="both"/>
      </w:pPr>
      <w:r>
        <w:rPr>
          <w:rFonts w:ascii="Times New Roman"/>
          <w:b w:val="false"/>
          <w:i w:val="false"/>
          <w:color w:val="000000"/>
          <w:sz w:val="28"/>
        </w:rPr>
        <w:t>
      19. Тәуекелді бағалау бағдарламасында клиентке оны сәйкестендіруге қойылатын талаптарды ескере отырып, тәуекел дәрежесін (деңгейін) бағалау және беру рәсімдері айқындалады:</w:t>
      </w:r>
    </w:p>
    <w:bookmarkEnd w:id="16"/>
    <w:p>
      <w:pPr>
        <w:spacing w:after="0"/>
        <w:ind w:left="0"/>
        <w:jc w:val="both"/>
      </w:pPr>
      <w:r>
        <w:rPr>
          <w:rFonts w:ascii="Times New Roman"/>
          <w:b w:val="false"/>
          <w:i w:val="false"/>
          <w:color w:val="000000"/>
          <w:sz w:val="28"/>
        </w:rPr>
        <w:t>
      1) клиентті қызмет көрсетуге қабылдағанға дейін;</w:t>
      </w:r>
    </w:p>
    <w:p>
      <w:pPr>
        <w:spacing w:after="0"/>
        <w:ind w:left="0"/>
        <w:jc w:val="both"/>
      </w:pPr>
      <w:r>
        <w:rPr>
          <w:rFonts w:ascii="Times New Roman"/>
          <w:b w:val="false"/>
          <w:i w:val="false"/>
          <w:color w:val="000000"/>
          <w:sz w:val="28"/>
        </w:rPr>
        <w:t>
      2) клиентке қызмет көрсету барысында (операциялардың (мәмілелердің) жасалуына қарай);</w:t>
      </w:r>
    </w:p>
    <w:p>
      <w:pPr>
        <w:spacing w:after="0"/>
        <w:ind w:left="0"/>
        <w:jc w:val="both"/>
      </w:pPr>
      <w:r>
        <w:rPr>
          <w:rFonts w:ascii="Times New Roman"/>
          <w:b w:val="false"/>
          <w:i w:val="false"/>
          <w:color w:val="000000"/>
          <w:sz w:val="28"/>
        </w:rPr>
        <w:t>
      3) ІБҚ-да көзделген өзге жағдайларда.</w:t>
      </w:r>
    </w:p>
    <w:p>
      <w:pPr>
        <w:spacing w:after="0"/>
        <w:ind w:left="0"/>
        <w:jc w:val="both"/>
      </w:pPr>
      <w:r>
        <w:rPr>
          <w:rFonts w:ascii="Times New Roman"/>
          <w:b w:val="false"/>
          <w:i w:val="false"/>
          <w:color w:val="000000"/>
          <w:sz w:val="28"/>
        </w:rPr>
        <w:t>
      Тәуекелді бағалау бағдарламасы клиентті зерделеу бағдарламасын іске асыру нәтижесінде алынған ақпараттың, сондай-ақ Ақша жылыстатуға қарсы күрестің қаржылық шараларын әзірлеу тобының (ФАТФ) ұсынымдарын ескере отырып, операциялардың белгілерін, КЖ/ТҚ/ЖҚҚТҚ мақсатында клиенттердің операцияларды жасау тәуекелі жоғары қызмет түрлері мен шарттарының негізінде клиенттердің тәуекеліне бағалау жүргізуді көздейді.</w:t>
      </w:r>
    </w:p>
    <w:bookmarkStart w:name="z33" w:id="17"/>
    <w:p>
      <w:pPr>
        <w:spacing w:after="0"/>
        <w:ind w:left="0"/>
        <w:jc w:val="both"/>
      </w:pPr>
      <w:r>
        <w:rPr>
          <w:rFonts w:ascii="Times New Roman"/>
          <w:b w:val="false"/>
          <w:i w:val="false"/>
          <w:color w:val="000000"/>
          <w:sz w:val="28"/>
        </w:rPr>
        <w:t>
      20. Операцияларды анықтау бағдарламасы анықтау процедураларын қарастырады:</w:t>
      </w:r>
    </w:p>
    <w:bookmarkEnd w:id="17"/>
    <w:p>
      <w:pPr>
        <w:spacing w:after="0"/>
        <w:ind w:left="0"/>
        <w:jc w:val="both"/>
      </w:pPr>
      <w:r>
        <w:rPr>
          <w:rFonts w:ascii="Times New Roman"/>
          <w:b w:val="false"/>
          <w:i w:val="false"/>
          <w:color w:val="000000"/>
          <w:sz w:val="28"/>
        </w:rPr>
        <w:t>
      1) қаржы мониторингіне жататын операциялар (мәмілелер);</w:t>
      </w:r>
    </w:p>
    <w:p>
      <w:pPr>
        <w:spacing w:after="0"/>
        <w:ind w:left="0"/>
        <w:jc w:val="both"/>
      </w:pPr>
      <w:r>
        <w:rPr>
          <w:rFonts w:ascii="Times New Roman"/>
          <w:b w:val="false"/>
          <w:i w:val="false"/>
          <w:color w:val="000000"/>
          <w:sz w:val="28"/>
        </w:rPr>
        <w:t>
      2) ерекше операциялар (мәмілелер), оның ішінде жүзеге асырылуы КЖ/ТҚ/ЖҚҚТҚ бағытталуы мүмкін ерекше мәмілелерді анықтау өлшемшарттары мен белгілеріне жатқызылатын ерекше операциялар (мәмілелер) негізінде жүзеге асырылады;</w:t>
      </w:r>
    </w:p>
    <w:p>
      <w:pPr>
        <w:spacing w:after="0"/>
        <w:ind w:left="0"/>
        <w:jc w:val="both"/>
      </w:pPr>
      <w:r>
        <w:rPr>
          <w:rFonts w:ascii="Times New Roman"/>
          <w:b w:val="false"/>
          <w:i w:val="false"/>
          <w:color w:val="000000"/>
          <w:sz w:val="28"/>
        </w:rPr>
        <w:t>
      3) цифрлық активтердің бір немесе бірнеше нысандарын басқа цифрлық активтерге айырбастау;</w:t>
      </w:r>
    </w:p>
    <w:p>
      <w:pPr>
        <w:spacing w:after="0"/>
        <w:ind w:left="0"/>
        <w:jc w:val="both"/>
      </w:pPr>
      <w:r>
        <w:rPr>
          <w:rFonts w:ascii="Times New Roman"/>
          <w:b w:val="false"/>
          <w:i w:val="false"/>
          <w:color w:val="000000"/>
          <w:sz w:val="28"/>
        </w:rPr>
        <w:t>
      4) трансшекаралық төлемдер және цифрлық активтердің аударымдары, сондай-ақ Қазақстан Республикасының аумағында аударымдар;</w:t>
      </w:r>
    </w:p>
    <w:p>
      <w:pPr>
        <w:spacing w:after="0"/>
        <w:ind w:left="0"/>
        <w:jc w:val="both"/>
      </w:pPr>
      <w:r>
        <w:rPr>
          <w:rFonts w:ascii="Times New Roman"/>
          <w:b w:val="false"/>
          <w:i w:val="false"/>
          <w:color w:val="000000"/>
          <w:sz w:val="28"/>
        </w:rPr>
        <w:t>
      5) сандық активтерді немесе сандық активтерді бақылауға мүмкіндік беретін құралдарды жауапты сақтау және/немесе басқару;</w:t>
      </w:r>
    </w:p>
    <w:p>
      <w:pPr>
        <w:spacing w:after="0"/>
        <w:ind w:left="0"/>
        <w:jc w:val="both"/>
      </w:pPr>
      <w:r>
        <w:rPr>
          <w:rFonts w:ascii="Times New Roman"/>
          <w:b w:val="false"/>
          <w:i w:val="false"/>
          <w:color w:val="000000"/>
          <w:sz w:val="28"/>
        </w:rPr>
        <w:t>
      6) эмитенттің цифрлық активтерін ұсынуға және/немесе сатуға байланысты қаржылық қызметтерді ұсынуға және ұсынуға қатысу.</w:t>
      </w:r>
    </w:p>
    <w:bookmarkStart w:name="z34" w:id="18"/>
    <w:p>
      <w:pPr>
        <w:spacing w:after="0"/>
        <w:ind w:left="0"/>
        <w:jc w:val="both"/>
      </w:pPr>
      <w:r>
        <w:rPr>
          <w:rFonts w:ascii="Times New Roman"/>
          <w:b w:val="false"/>
          <w:i w:val="false"/>
          <w:color w:val="000000"/>
          <w:sz w:val="28"/>
        </w:rPr>
        <w:t>
      21. Субъектілер осы тармақта көрсетілген шет мемлекеттерде қызмет жүргізуге, осындай шет мемлекеттерден келген клиенттерге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мынадай жағдайларда жүзеге асырады:</w:t>
      </w:r>
    </w:p>
    <w:bookmarkEnd w:id="18"/>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ұсынымдарын орындамайтын және (немесе) жеткілікті орындамайтын (бұдан әрі – ФАТФ);</w:t>
      </w:r>
    </w:p>
    <w:p>
      <w:pPr>
        <w:spacing w:after="0"/>
        <w:ind w:left="0"/>
        <w:jc w:val="both"/>
      </w:pPr>
      <w:r>
        <w:rPr>
          <w:rFonts w:ascii="Times New Roman"/>
          <w:b w:val="false"/>
          <w:i w:val="false"/>
          <w:color w:val="000000"/>
          <w:sz w:val="28"/>
        </w:rPr>
        <w:t>
      сыбайлас жемқорлық немесе өзге де қылмыстық іс-әрекет деңгейі жоғары;</w:t>
      </w:r>
    </w:p>
    <w:p>
      <w:pPr>
        <w:spacing w:after="0"/>
        <w:ind w:left="0"/>
        <w:jc w:val="both"/>
      </w:pPr>
      <w:r>
        <w:rPr>
          <w:rFonts w:ascii="Times New Roman"/>
          <w:b w:val="false"/>
          <w:i w:val="false"/>
          <w:color w:val="000000"/>
          <w:sz w:val="28"/>
        </w:rPr>
        <w:t>
      Біріккен Ұлттар Ұйымы (бұдан әрі – БҰҰ) салатын санкцияларға, эмбаргоға және осыған ұқсас шараларға ұшыраған;</w:t>
      </w:r>
    </w:p>
    <w:p>
      <w:pPr>
        <w:spacing w:after="0"/>
        <w:ind w:left="0"/>
        <w:jc w:val="both"/>
      </w:pPr>
      <w:r>
        <w:rPr>
          <w:rFonts w:ascii="Times New Roman"/>
          <w:b w:val="false"/>
          <w:i w:val="false"/>
          <w:color w:val="000000"/>
          <w:sz w:val="28"/>
        </w:rPr>
        <w:t>
      террористік (экстремистік) қызметті қаржыландыруды немесе қолдауды жүзеге асыратын және белгіленген террористік (экстремистік) ұйымдары бар ұйымдар жатады.</w:t>
      </w:r>
    </w:p>
    <w:p>
      <w:pPr>
        <w:spacing w:after="0"/>
        <w:ind w:left="0"/>
        <w:jc w:val="both"/>
      </w:pPr>
      <w:r>
        <w:rPr>
          <w:rFonts w:ascii="Times New Roman"/>
          <w:b w:val="false"/>
          <w:i w:val="false"/>
          <w:color w:val="000000"/>
          <w:sz w:val="28"/>
        </w:rPr>
        <w:t>
      БҰҰ деректері бойынша осындай мемлекеттердің (аумақтардың) және халықаралық ұйымдардың тізбелеріне сілтемелер уәкілетті мемлекеттік органның интернет-ресурсында орналастырылады;</w:t>
      </w:r>
    </w:p>
    <w:p>
      <w:pPr>
        <w:spacing w:after="0"/>
        <w:ind w:left="0"/>
        <w:jc w:val="both"/>
      </w:pPr>
      <w:r>
        <w:rPr>
          <w:rFonts w:ascii="Times New Roman"/>
          <w:b w:val="false"/>
          <w:i w:val="false"/>
          <w:color w:val="000000"/>
          <w:sz w:val="28"/>
        </w:rPr>
        <w:t>
      операциялар бойынша ақшамен және (немесе) өзге мүлікпен;</w:t>
      </w:r>
    </w:p>
    <w:p>
      <w:pPr>
        <w:spacing w:after="0"/>
        <w:ind w:left="0"/>
        <w:jc w:val="both"/>
      </w:pPr>
      <w:r>
        <w:rPr>
          <w:rFonts w:ascii="Times New Roman"/>
          <w:b w:val="false"/>
          <w:i w:val="false"/>
          <w:color w:val="000000"/>
          <w:sz w:val="28"/>
        </w:rPr>
        <w:t>
      тараптардың физикалық қатысуынсыз жүзеге асырылатын;</w:t>
      </w:r>
    </w:p>
    <w:p>
      <w:pPr>
        <w:spacing w:after="0"/>
        <w:ind w:left="0"/>
        <w:jc w:val="both"/>
      </w:pPr>
      <w:r>
        <w:rPr>
          <w:rFonts w:ascii="Times New Roman"/>
          <w:b w:val="false"/>
          <w:i w:val="false"/>
          <w:color w:val="000000"/>
          <w:sz w:val="28"/>
        </w:rPr>
        <w:t>
      немесе байланысты емес үшінші тұлғалардың атынан немесе пайдасына жасалатын;</w:t>
      </w:r>
    </w:p>
    <w:p>
      <w:pPr>
        <w:spacing w:after="0"/>
        <w:ind w:left="0"/>
        <w:jc w:val="both"/>
      </w:pPr>
      <w:r>
        <w:rPr>
          <w:rFonts w:ascii="Times New Roman"/>
          <w:b w:val="false"/>
          <w:i w:val="false"/>
          <w:color w:val="000000"/>
          <w:sz w:val="28"/>
        </w:rPr>
        <w:t>
      жасырын банктік шоттармен немесе қолма-қол есеп айырысуды қоса алғанда, жасырын, жалған есімдерді пайдаланумен байланысты;</w:t>
      </w:r>
    </w:p>
    <w:p>
      <w:pPr>
        <w:spacing w:after="0"/>
        <w:ind w:left="0"/>
        <w:jc w:val="both"/>
      </w:pPr>
      <w:r>
        <w:rPr>
          <w:rFonts w:ascii="Times New Roman"/>
          <w:b w:val="false"/>
          <w:i w:val="false"/>
          <w:color w:val="000000"/>
          <w:sz w:val="28"/>
        </w:rPr>
        <w:t>
      сандық активтермен операцияларды жүзеге асыру кезінде жеке байланыстың болмауы, сандық активтермен байланысты өнімдер немесе қызметтер;</w:t>
      </w:r>
    </w:p>
    <w:p>
      <w:pPr>
        <w:spacing w:after="0"/>
        <w:ind w:left="0"/>
        <w:jc w:val="both"/>
      </w:pPr>
      <w:r>
        <w:rPr>
          <w:rFonts w:ascii="Times New Roman"/>
          <w:b w:val="false"/>
          <w:i w:val="false"/>
          <w:color w:val="000000"/>
          <w:sz w:val="28"/>
        </w:rPr>
        <w:t>
      егер бенефициарларды сәйкестендіру (белгілеу) бойынша цифрлық активтермен қызметті жүзеге асыратын тұлғалардың мүмкіндіктерін шектесе, бүркеншік атпен операцияларды жүзеге асыру немесе операциялардың анонимділігінің жоғары дәрежесі;</w:t>
      </w:r>
    </w:p>
    <w:p>
      <w:pPr>
        <w:spacing w:after="0"/>
        <w:ind w:left="0"/>
        <w:jc w:val="both"/>
      </w:pPr>
      <w:r>
        <w:rPr>
          <w:rFonts w:ascii="Times New Roman"/>
          <w:b w:val="false"/>
          <w:i w:val="false"/>
          <w:color w:val="000000"/>
          <w:sz w:val="28"/>
        </w:rPr>
        <w:t>
      экономикалық мағынасы немесе заңды мақсаты жоқ;</w:t>
      </w:r>
    </w:p>
    <w:p>
      <w:pPr>
        <w:spacing w:after="0"/>
        <w:ind w:left="0"/>
        <w:jc w:val="both"/>
      </w:pPr>
      <w:r>
        <w:rPr>
          <w:rFonts w:ascii="Times New Roman"/>
          <w:b w:val="false"/>
          <w:i w:val="false"/>
          <w:color w:val="000000"/>
          <w:sz w:val="28"/>
        </w:rPr>
        <w:t>
      оған тән емес жиілікпен немесе осы клиент үшін ірі сомаға клиент жасайтын;</w:t>
      </w:r>
    </w:p>
    <w:p>
      <w:pPr>
        <w:spacing w:after="0"/>
        <w:ind w:left="0"/>
        <w:jc w:val="both"/>
      </w:pPr>
      <w:r>
        <w:rPr>
          <w:rFonts w:ascii="Times New Roman"/>
          <w:b w:val="false"/>
          <w:i w:val="false"/>
          <w:color w:val="000000"/>
          <w:sz w:val="28"/>
        </w:rPr>
        <w:t>
      олар бойынша КЖ/ТҚ/ЖҚҚТҚ заңдастырудың жоғары тәуекелі туралы ақпарат бар.</w:t>
      </w:r>
    </w:p>
    <w:p>
      <w:pPr>
        <w:spacing w:after="0"/>
        <w:ind w:left="0"/>
        <w:jc w:val="both"/>
      </w:pPr>
      <w:r>
        <w:rPr>
          <w:rFonts w:ascii="Times New Roman"/>
          <w:b w:val="false"/>
          <w:i w:val="false"/>
          <w:color w:val="000000"/>
          <w:sz w:val="28"/>
        </w:rPr>
        <w:t>
      Субъектілердің қосымша тәуекел факторларын қосуына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КЖ/ТҚ/ЖҚҚТҚ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жоғары деген кемінде екі деңгейден тұратын тәуекел деңгейін айқындау шәкілі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bookmarkStart w:name="z36" w:id="19"/>
    <w:p>
      <w:pPr>
        <w:spacing w:after="0"/>
        <w:ind w:left="0"/>
        <w:jc w:val="both"/>
      </w:pPr>
      <w:r>
        <w:rPr>
          <w:rFonts w:ascii="Times New Roman"/>
          <w:b w:val="false"/>
          <w:i w:val="false"/>
          <w:color w:val="000000"/>
          <w:sz w:val="28"/>
        </w:rPr>
        <w:t>
      23. Субъектілер КЖ/ТҚ/ЖҚҚТҚ заңдастыру кезінде туындайтын тәуекелдерді анықтайды және бағалайды:</w:t>
      </w:r>
    </w:p>
    <w:bookmarkEnd w:id="19"/>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p>
      <w:pPr>
        <w:spacing w:after="0"/>
        <w:ind w:left="0"/>
        <w:jc w:val="both"/>
      </w:pPr>
      <w:r>
        <w:rPr>
          <w:rFonts w:ascii="Times New Roman"/>
          <w:b w:val="false"/>
          <w:i w:val="false"/>
          <w:color w:val="000000"/>
          <w:sz w:val="28"/>
        </w:rPr>
        <w:t>
      2) жаңа немесе дамып келе жатқан технологияларды жаңа және бұрыннан бар өнімдер үшін пайдалану.</w:t>
      </w:r>
    </w:p>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Start w:name="z37" w:id="20"/>
    <w:p>
      <w:pPr>
        <w:spacing w:after="0"/>
        <w:ind w:left="0"/>
        <w:jc w:val="both"/>
      </w:pPr>
      <w:r>
        <w:rPr>
          <w:rFonts w:ascii="Times New Roman"/>
          <w:b w:val="false"/>
          <w:i w:val="false"/>
          <w:color w:val="000000"/>
          <w:sz w:val="28"/>
        </w:rPr>
        <w:t>
      24.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заңда көзделген өзге де мәліметтерді алу және тіркеу жөніндегі іс-шараларды жүргізуінен тұрады:</w:t>
      </w:r>
    </w:p>
    <w:bookmarkEnd w:id="20"/>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тұлғалардың, сондай-ақ аталған тұлғалар бенефициарлық меншік иелері болып табылатын клиенттердің заңды тұлғалары арасынан жария лауазымды тұлғаларын, олардың жұбайларын (зайыптарын) және жақын туыстарын анықтауға және осындай клиенттерді (ұйымның басшы қызметкерінің жазбаша рұқсатын ала отырып) қызмет көрсетуге қабылдауға бағытталған шаралардың сипаттамасы;</w:t>
      </w:r>
    </w:p>
    <w:p>
      <w:pPr>
        <w:spacing w:after="0"/>
        <w:ind w:left="0"/>
        <w:jc w:val="both"/>
      </w:pPr>
      <w:r>
        <w:rPr>
          <w:rFonts w:ascii="Times New Roman"/>
          <w:b w:val="false"/>
          <w:i w:val="false"/>
          <w:color w:val="000000"/>
          <w:sz w:val="28"/>
        </w:rPr>
        <w:t>
      4) клиентті (оның өкілін) және бенефициарлық меншік иесін Тізімде, және Тізбелерде тексеру тәртібі;</w:t>
      </w:r>
    </w:p>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p>
      <w:pPr>
        <w:spacing w:after="0"/>
        <w:ind w:left="0"/>
        <w:jc w:val="both"/>
      </w:pPr>
      <w:r>
        <w:rPr>
          <w:rFonts w:ascii="Times New Roman"/>
          <w:b w:val="false"/>
          <w:i w:val="false"/>
          <w:color w:val="000000"/>
          <w:sz w:val="28"/>
        </w:rPr>
        <w:t>
      7) басқа ұйымдардан мәліметтер алу, оның ішінде өздерінің (оның өкілінің)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Егер Субъект КЖ/ТҚҚ туралы Заңға сәйкес шарт негізінде өзге тұлғаға, не шетелдік қаржы ұйымына Субъектінің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тұлғалардың тізбесін бекіту туралы;</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ұйымға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ұйымға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тұлғалардың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КЖ/ТҚҚ/ЖҚҚТҚ заңдастырудың ықтимал тәуекелдерін анықтау рәсімі.</w:t>
      </w:r>
    </w:p>
    <w:p>
      <w:pPr>
        <w:spacing w:after="0"/>
        <w:ind w:left="0"/>
        <w:jc w:val="both"/>
      </w:pPr>
      <w:r>
        <w:rPr>
          <w:rFonts w:ascii="Times New Roman"/>
          <w:b w:val="false"/>
          <w:i w:val="false"/>
          <w:color w:val="000000"/>
          <w:sz w:val="28"/>
        </w:rPr>
        <w:t xml:space="preserve">
      ҚЖ/ТҚҚ туралы Заңның 5-баптың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bookmarkStart w:name="z38" w:id="21"/>
    <w:p>
      <w:pPr>
        <w:spacing w:after="0"/>
        <w:ind w:left="0"/>
        <w:jc w:val="both"/>
      </w:pPr>
      <w:r>
        <w:rPr>
          <w:rFonts w:ascii="Times New Roman"/>
          <w:b w:val="false"/>
          <w:i w:val="false"/>
          <w:color w:val="000000"/>
          <w:sz w:val="28"/>
        </w:rPr>
        <w:t>
      25.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bookmarkEnd w:id="21"/>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(оның өкілінің) және бенефициарлық меншік иесінің жеке басын растау;</w:t>
      </w:r>
    </w:p>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ақылға қонымды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құрылымдар үшін бұл Субъектінің басқару құрылымы мен клиенттің меншігі туралы ақпарат алуын қамтуы керек;</w:t>
      </w:r>
    </w:p>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сәйкестігіне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құрылымдарға, жеке деректерге қатысты.</w:t>
      </w:r>
    </w:p>
    <w:bookmarkStart w:name="z39" w:id="22"/>
    <w:p>
      <w:pPr>
        <w:spacing w:after="0"/>
        <w:ind w:left="0"/>
        <w:jc w:val="both"/>
      </w:pPr>
      <w:r>
        <w:rPr>
          <w:rFonts w:ascii="Times New Roman"/>
          <w:b w:val="false"/>
          <w:i w:val="false"/>
          <w:color w:val="000000"/>
          <w:sz w:val="28"/>
        </w:rPr>
        <w:t>
      26. Субъектілердің клиентті (оның өкілін) және бенефициарлық меншік иесін тиісінше тексеруі үшін қажетті құжаттар тізбесі:</w:t>
      </w:r>
    </w:p>
    <w:bookmarkEnd w:id="22"/>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 ;</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клиентке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p>
      <w:pPr>
        <w:spacing w:after="0"/>
        <w:ind w:left="0"/>
        <w:jc w:val="both"/>
      </w:pPr>
      <w:r>
        <w:rPr>
          <w:rFonts w:ascii="Times New Roman"/>
          <w:b w:val="false"/>
          <w:i w:val="false"/>
          <w:color w:val="000000"/>
          <w:sz w:val="28"/>
        </w:rPr>
        <w:t>
      1) клиент шекті операция (мәміле) жасаған кезде;</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p>
      <w:pPr>
        <w:spacing w:after="0"/>
        <w:ind w:left="0"/>
        <w:jc w:val="both"/>
      </w:pPr>
      <w:r>
        <w:rPr>
          <w:rFonts w:ascii="Times New Roman"/>
          <w:b w:val="false"/>
          <w:i w:val="false"/>
          <w:color w:val="000000"/>
          <w:sz w:val="28"/>
        </w:rPr>
        <w:t>
      3) клиент ерекше операция (мәміле) жасаған жағдайларда;</w:t>
      </w:r>
    </w:p>
    <w:p>
      <w:pPr>
        <w:spacing w:after="0"/>
        <w:ind w:left="0"/>
        <w:jc w:val="both"/>
      </w:pPr>
      <w:r>
        <w:rPr>
          <w:rFonts w:ascii="Times New Roman"/>
          <w:b w:val="false"/>
          <w:i w:val="false"/>
          <w:color w:val="000000"/>
          <w:sz w:val="28"/>
        </w:rPr>
        <w:t>
      4) клиент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операцияны (мәмілені) жасаған жағдайларда тоқтатылады.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осы талаптарға сәйкес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Қатысудың бақылау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тұлға заңнамада белгіленген тәртіппен бенефициарлық меншік иесі болып танылады.</w:t>
      </w:r>
    </w:p>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клиентті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26-тармағына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(салықтық резиденттігі, қызмет түрі және жасалатын операцияларды қаржыландыру көзі туралы мәліметтер) жатады.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bookmarkStart w:name="z43" w:id="23"/>
    <w:p>
      <w:pPr>
        <w:spacing w:after="0"/>
        <w:ind w:left="0"/>
        <w:jc w:val="both"/>
      </w:pPr>
      <w:r>
        <w:rPr>
          <w:rFonts w:ascii="Times New Roman"/>
          <w:b w:val="false"/>
          <w:i w:val="false"/>
          <w:color w:val="000000"/>
          <w:sz w:val="28"/>
        </w:rPr>
        <w:t>
      30.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23"/>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3-бабының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44" w:id="24"/>
    <w:p>
      <w:pPr>
        <w:spacing w:after="0"/>
        <w:ind w:left="0"/>
        <w:jc w:val="both"/>
      </w:pPr>
      <w:r>
        <w:rPr>
          <w:rFonts w:ascii="Times New Roman"/>
          <w:b w:val="false"/>
          <w:i w:val="false"/>
          <w:color w:val="000000"/>
          <w:sz w:val="28"/>
        </w:rPr>
        <w:t>
      31.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24"/>
    <w:bookmarkStart w:name="z45" w:id="25"/>
    <w:p>
      <w:pPr>
        <w:spacing w:after="0"/>
        <w:ind w:left="0"/>
        <w:jc w:val="both"/>
      </w:pPr>
      <w:r>
        <w:rPr>
          <w:rFonts w:ascii="Times New Roman"/>
          <w:b w:val="false"/>
          <w:i w:val="false"/>
          <w:color w:val="000000"/>
          <w:sz w:val="28"/>
        </w:rPr>
        <w:t>
      32. Клиенттердің операцияларын мониторингтеу және зерделеу бағдарламасы мыналарды қамтиды:</w:t>
      </w:r>
    </w:p>
    <w:bookmarkEnd w:id="25"/>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КЖ/ТҚ/ЖҚҚТҚ заңдастыру типологияларына, схемалары мен тәсілдеріне сәйкес сипаттамалары бар клиенттің операциясын анықтау рәсімін қамтиды;</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 пен оның операцияларына қатысты Субъектілер қабылдайтын шараларды қолдану тәртібі және сипаттау;</w:t>
      </w:r>
    </w:p>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p>
      <w:pPr>
        <w:spacing w:after="0"/>
        <w:ind w:left="0"/>
        <w:jc w:val="both"/>
      </w:pPr>
      <w:r>
        <w:rPr>
          <w:rFonts w:ascii="Times New Roman"/>
          <w:b w:val="false"/>
          <w:i w:val="false"/>
          <w:color w:val="000000"/>
          <w:sz w:val="28"/>
        </w:rPr>
        <w:t>
      6) тізімде және тізбелерде тұрған клиенттерді (олардың өкілдерін)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p>
      <w:pPr>
        <w:spacing w:after="0"/>
        <w:ind w:left="0"/>
        <w:jc w:val="both"/>
      </w:pPr>
      <w:r>
        <w:rPr>
          <w:rFonts w:ascii="Times New Roman"/>
          <w:b w:val="false"/>
          <w:i w:val="false"/>
          <w:color w:val="000000"/>
          <w:sz w:val="28"/>
        </w:rPr>
        <w:t>
      7) Субъектінің лауазымды адамдарына шекті және күдікті операцияның, тізімнен және тізбелерден клиенттерді анықтау туралы ақпарат беру тәртібі (қажет болған кезде).</w:t>
      </w:r>
    </w:p>
    <w:bookmarkStart w:name="z46" w:id="26"/>
    <w:p>
      <w:pPr>
        <w:spacing w:after="0"/>
        <w:ind w:left="0"/>
        <w:jc w:val="both"/>
      </w:pPr>
      <w:r>
        <w:rPr>
          <w:rFonts w:ascii="Times New Roman"/>
          <w:b w:val="false"/>
          <w:i w:val="false"/>
          <w:color w:val="000000"/>
          <w:sz w:val="28"/>
        </w:rPr>
        <w:t>
      33. Клиенттердің операцияларын мониторингтеу және зерделеу бағдарламасының шеңберінде Субъектілер КЖ/ТҚ/ЖҚҚТҚ заңдастыру типологияларына, схемаларына және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26"/>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Субъектілер қызметтерінің КЖ/ТҚ/ЖҚҚТҚ заңдастыру тәуекелдеріне ұшырау дәрежесін жыл сайын бағалау үшін, сондай-ақ клиенттердің тәуекелдер деңгейлерін қайта қарау үшін пайдаланылады.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барлық кезеңі ішінде және операция жасалғаннан кейін кемінде 5 (бес) жыл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Клиент операцияларын зерделеу жиілігін Субъектілер клиенттің тәуекел деңгейін және (немесе) клиент пайдаланатын Субъектілер қызметтерінің КЖ/ТҚ/ЖҚҚТҚ заңдастыру тәуекелдеріне ұшырау дәрежесін, клиенттің операцияларды (операцияны)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заңдастыру типологияларын, схемалары мен тәсілдерін ескере отырып айқындайды.</w:t>
      </w:r>
    </w:p>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әдетте бір айдан аспайтын мерзімде зерделейді.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Егер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0" w:id="27"/>
    <w:p>
      <w:pPr>
        <w:spacing w:after="0"/>
        <w:ind w:left="0"/>
        <w:jc w:val="both"/>
      </w:pPr>
      <w:r>
        <w:rPr>
          <w:rFonts w:ascii="Times New Roman"/>
          <w:b w:val="false"/>
          <w:i w:val="false"/>
          <w:color w:val="000000"/>
          <w:sz w:val="28"/>
        </w:rPr>
        <w:t>
      "6-тарау. КЖ/ТҚ/ЖҚҚТҚҚІ саласында Субъектілерді даярлау және оқыту бағдарламасы";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алынып тасталсын.</w:t>
      </w:r>
    </w:p>
    <w:bookmarkStart w:name="z54" w:id="28"/>
    <w:p>
      <w:pPr>
        <w:spacing w:after="0"/>
        <w:ind w:left="0"/>
        <w:jc w:val="both"/>
      </w:pPr>
      <w:r>
        <w:rPr>
          <w:rFonts w:ascii="Times New Roman"/>
          <w:b w:val="false"/>
          <w:i w:val="false"/>
          <w:color w:val="000000"/>
          <w:sz w:val="28"/>
        </w:rPr>
        <w:t>
      2. Қазақстан Республикасы Қаржылық мониторинг агенттігі (бұдан әрі – Агенттік) заңнамада белгіленген тәртіппен:</w:t>
      </w:r>
    </w:p>
    <w:bookmarkEnd w:id="28"/>
    <w:bookmarkStart w:name="z55" w:id="29"/>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29"/>
    <w:bookmarkStart w:name="z56" w:id="30"/>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интернет-ресурсында орналастыруды қамтамасыз етсін.</w:t>
      </w:r>
    </w:p>
    <w:bookmarkEnd w:id="30"/>
    <w:bookmarkStart w:name="z57" w:id="31"/>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