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96da" w14:textId="8369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29 қыркүйектегі № 116 бұйрығы. Қазақстан Республикасының Әділет министрлігінде 2022 жылғы 30 қыркүйекте № 29902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"Өрт қауіпсіздігіне қойылатын жалпы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мектепке дейінгі ұйымдар, орта білім беру ұйымдары, интернаттық ұйымдар, стационарлық жағдайда медициналық көмек көрсететін медициналық ұйымдар, бір пәтерлі тұрғын ғимарат жер учаскесінің шекарасына;";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Көлік құралдарын сақтау және қызмет көрсету орындарынан (жер үсті және жер үсті-жер асты гараждар, жеңіл автомобильді тұрақты және уақытша сақтауға арналған ашық тұрақтар және техникалық қызмет көрсету станциясынан) бастап тұрғын үйлер және қоғамдық ғимараттар, сондай-ақ елді мекендердің тұрғын, қоғамдық-іскерлік және рекреациялық мақсаттағы аймақтарда орналасқан мектепке дейінгі ұйымдар, орта білім беру ұйымдары, интернаттық ұйымдар, стационарлық жағдайда медициналық көмек көрсететін медициналық ұйымдарға дейін өртке қарсы қашықтықтар осы Техникалық регламентке </w:t>
      </w:r>
      <w:r>
        <w:rPr>
          <w:rFonts w:ascii="Times New Roman"/>
          <w:b w:val="false"/>
          <w:i w:val="false"/>
          <w:color w:val="000000"/>
          <w:sz w:val="28"/>
        </w:rPr>
        <w:t>9-қосымшаның</w:t>
      </w:r>
      <w:r>
        <w:rPr>
          <w:rFonts w:ascii="Times New Roman"/>
          <w:b w:val="false"/>
          <w:i w:val="false"/>
          <w:color w:val="000000"/>
          <w:sz w:val="28"/>
        </w:rPr>
        <w:t xml:space="preserve"> кестесінде келтірілгеннен кем қабылданбауы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"115. Өртке қарсы қашықтықты тұрғын үй және қоғамдық ғимараттар, құрылысдар және құрылыстан бастап және мектепке дейінгі ұйымдар, орта білім беру ұйымдары және стационарлық жағдайда медициналық көмек көрсететін медициналық ұйымдардан бастап гараж қабырғасы немесе ашық тұрақ шекарасына дейін анықтау қажет.";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Сұйылтылған көмірсутекті газдардың жер үсті резервуарсынан бастап бір мезгілде 800-ден артық адам болуы мүмкін (стадион, базар, парк, тұрғын үй) орындарға дейінгі, сондай-ақ орта білім беру, мектепке дейінгі және санаторийлік-курорттық ұйымдарына дейінгі қашықтық орын санына қарамай, осы Техникалық регламентке </w:t>
      </w:r>
      <w:r>
        <w:rPr>
          <w:rFonts w:ascii="Times New Roman"/>
          <w:b w:val="false"/>
          <w:i w:val="false"/>
          <w:color w:val="000000"/>
          <w:sz w:val="28"/>
        </w:rPr>
        <w:t>11-қосымшаның</w:t>
      </w:r>
      <w:r>
        <w:rPr>
          <w:rFonts w:ascii="Times New Roman"/>
          <w:b w:val="false"/>
          <w:i w:val="false"/>
          <w:color w:val="000000"/>
          <w:sz w:val="28"/>
        </w:rPr>
        <w:t xml:space="preserve"> 3-кестесінде келтірілген мәндермен салыстырғанда 2 есе арттыруға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"246. Ұйықтайтын және палаталық үй-жайларда, сондай-ақ Ф1.1 қосалқы сыныбының мектепке дейінгі ұйымдарының ғимараттарының үй-жайларында КМ2 қарағанда, өрт қауіптілігі барынша жоғары болатын сәндік-өңдеу, қаптау материалдары мен еден төсеніштерін қолдануға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"247. Мектепке дейінгі ұйымдарда музыка және дене тәрбиесі сабақтары өтетін залдарының қабырғалары мен төбелерін өңдеу КМО сыныбының материалынан орындалуы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1-қосымшаның </w:t>
      </w:r>
      <w:r>
        <w:rPr>
          <w:rFonts w:ascii="Times New Roman"/>
          <w:b w:val="false"/>
          <w:i w:val="false"/>
          <w:color w:val="000000"/>
          <w:sz w:val="28"/>
        </w:rPr>
        <w:t>59-тармағында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19" w:id="5"/>
    <w:p>
      <w:pPr>
        <w:spacing w:after="0"/>
        <w:ind w:left="0"/>
        <w:jc w:val="both"/>
      </w:pPr>
      <w:r>
        <w:rPr>
          <w:rFonts w:ascii="Times New Roman"/>
          <w:b w:val="false"/>
          <w:i w:val="false"/>
          <w:color w:val="000000"/>
          <w:sz w:val="28"/>
        </w:rPr>
        <w:t>
      "1) Ф1 – адамдардың тұрақты тұруға және уақытша болуына арналған ғимараттар:</w:t>
      </w:r>
    </w:p>
    <w:bookmarkEnd w:id="5"/>
    <w:p>
      <w:pPr>
        <w:spacing w:after="0"/>
        <w:ind w:left="0"/>
        <w:jc w:val="both"/>
      </w:pPr>
      <w:r>
        <w:rPr>
          <w:rFonts w:ascii="Times New Roman"/>
          <w:b w:val="false"/>
          <w:i w:val="false"/>
          <w:color w:val="000000"/>
          <w:sz w:val="28"/>
        </w:rPr>
        <w:t>
      Ф1.1 – мектепке дейінгі ұйымдар, мамандандырылған қарттар мен мүгедектігі бар адамдардың (пәтерлік емес) үйлері, ауруханалар, интернаттық ұйымдардың ұйықтауға арналған корпустары;</w:t>
      </w:r>
    </w:p>
    <w:p>
      <w:pPr>
        <w:spacing w:after="0"/>
        <w:ind w:left="0"/>
        <w:jc w:val="both"/>
      </w:pPr>
      <w:r>
        <w:rPr>
          <w:rFonts w:ascii="Times New Roman"/>
          <w:b w:val="false"/>
          <w:i w:val="false"/>
          <w:color w:val="000000"/>
          <w:sz w:val="28"/>
        </w:rPr>
        <w:t>
      Ф1.2 – қонақ үйлер, жатақханалар, жалпы типтегі санаторийлер мен демалыс үйлерінің, кемпингтердің, мотельдер мен пансионаттардың ұйықтауға арналған корпустары;</w:t>
      </w:r>
    </w:p>
    <w:p>
      <w:pPr>
        <w:spacing w:after="0"/>
        <w:ind w:left="0"/>
        <w:jc w:val="both"/>
      </w:pPr>
      <w:r>
        <w:rPr>
          <w:rFonts w:ascii="Times New Roman"/>
          <w:b w:val="false"/>
          <w:i w:val="false"/>
          <w:color w:val="000000"/>
          <w:sz w:val="28"/>
        </w:rPr>
        <w:t>
      Ф1.3 – көп пәтерлі тұрғын үйлер;</w:t>
      </w:r>
    </w:p>
    <w:p>
      <w:pPr>
        <w:spacing w:after="0"/>
        <w:ind w:left="0"/>
        <w:jc w:val="both"/>
      </w:pPr>
      <w:r>
        <w:rPr>
          <w:rFonts w:ascii="Times New Roman"/>
          <w:b w:val="false"/>
          <w:i w:val="false"/>
          <w:color w:val="000000"/>
          <w:sz w:val="28"/>
        </w:rPr>
        <w:t>
      Ф1.4 – бір пәтерлік, оның ішінде бұғатталған тұрғын үйлер;</w:t>
      </w:r>
    </w:p>
    <w:p>
      <w:pPr>
        <w:spacing w:after="0"/>
        <w:ind w:left="0"/>
        <w:jc w:val="both"/>
      </w:pPr>
      <w:r>
        <w:rPr>
          <w:rFonts w:ascii="Times New Roman"/>
          <w:b w:val="false"/>
          <w:i w:val="false"/>
          <w:color w:val="000000"/>
          <w:sz w:val="28"/>
        </w:rPr>
        <w:t>
      Ф1.5 – көп функциялы ғимараттар;";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Start w:name="z21" w:id="6"/>
    <w:p>
      <w:pPr>
        <w:spacing w:after="0"/>
        <w:ind w:left="0"/>
        <w:jc w:val="both"/>
      </w:pPr>
      <w:r>
        <w:rPr>
          <w:rFonts w:ascii="Times New Roman"/>
          <w:b w:val="false"/>
          <w:i w:val="false"/>
          <w:color w:val="000000"/>
          <w:sz w:val="28"/>
        </w:rPr>
        <w:t>
      "Ф4 – ғылыми-зерттеу ұйымдарының және білім беру ұйымдарының, жобалық ұйымдардың, басқару органдары мекемелерінің ғимараттары:</w:t>
      </w:r>
    </w:p>
    <w:bookmarkEnd w:id="6"/>
    <w:p>
      <w:pPr>
        <w:spacing w:after="0"/>
        <w:ind w:left="0"/>
        <w:jc w:val="both"/>
      </w:pPr>
      <w:r>
        <w:rPr>
          <w:rFonts w:ascii="Times New Roman"/>
          <w:b w:val="false"/>
          <w:i w:val="false"/>
          <w:color w:val="000000"/>
          <w:sz w:val="28"/>
        </w:rPr>
        <w:t>
      Ф4.1 – орта білім беру ұйымдардың, қосымша бiлiм беретiн мектептен тыс ұйым, училище, колледж, жоғары колледж;</w:t>
      </w:r>
    </w:p>
    <w:p>
      <w:pPr>
        <w:spacing w:after="0"/>
        <w:ind w:left="0"/>
        <w:jc w:val="both"/>
      </w:pPr>
      <w:r>
        <w:rPr>
          <w:rFonts w:ascii="Times New Roman"/>
          <w:b w:val="false"/>
          <w:i w:val="false"/>
          <w:color w:val="000000"/>
          <w:sz w:val="28"/>
        </w:rPr>
        <w:t>
      Ф4.2 – біліктілікті арттыруды жүзеге асыратын жоғары және (немесе) жоғары оқу орнынан кейінгі білім беру ұйымдары, білім беру ұйымдары;</w:t>
      </w:r>
    </w:p>
    <w:p>
      <w:pPr>
        <w:spacing w:after="0"/>
        <w:ind w:left="0"/>
        <w:jc w:val="both"/>
      </w:pPr>
      <w:r>
        <w:rPr>
          <w:rFonts w:ascii="Times New Roman"/>
          <w:b w:val="false"/>
          <w:i w:val="false"/>
          <w:color w:val="000000"/>
          <w:sz w:val="28"/>
        </w:rPr>
        <w:t>
      Ф4.3 – әкімшілік ғимараттар, жобалау-конструкторлық ұйымдар, ақпараттық және редакциялық-баспа ұйымдары, ғылыми-зерттеу ұйымдары, банктер, конторлар, кеңселер;</w:t>
      </w:r>
    </w:p>
    <w:p>
      <w:pPr>
        <w:spacing w:after="0"/>
        <w:ind w:left="0"/>
        <w:jc w:val="both"/>
      </w:pPr>
      <w:r>
        <w:rPr>
          <w:rFonts w:ascii="Times New Roman"/>
          <w:b w:val="false"/>
          <w:i w:val="false"/>
          <w:color w:val="000000"/>
          <w:sz w:val="28"/>
        </w:rPr>
        <w:t>
      Ф4.4 – өрт депосы;";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7-қосымшаның </w:t>
      </w:r>
      <w:r>
        <w:rPr>
          <w:rFonts w:ascii="Times New Roman"/>
          <w:b w:val="false"/>
          <w:i w:val="false"/>
          <w:color w:val="000000"/>
          <w:sz w:val="28"/>
        </w:rPr>
        <w:t>2-кестесінің</w:t>
      </w:r>
      <w:r>
        <w:rPr>
          <w:rFonts w:ascii="Times New Roman"/>
          <w:b w:val="false"/>
          <w:i w:val="false"/>
          <w:color w:val="000000"/>
          <w:sz w:val="28"/>
        </w:rPr>
        <w:t xml:space="preserve"> ескертпесі мынадай редакцияда жазылсын:</w:t>
      </w:r>
    </w:p>
    <w:bookmarkStart w:name="z23" w:id="7"/>
    <w:p>
      <w:pPr>
        <w:spacing w:after="0"/>
        <w:ind w:left="0"/>
        <w:jc w:val="both"/>
      </w:pPr>
      <w:r>
        <w:rPr>
          <w:rFonts w:ascii="Times New Roman"/>
          <w:b w:val="false"/>
          <w:i w:val="false"/>
          <w:color w:val="000000"/>
          <w:sz w:val="28"/>
        </w:rPr>
        <w:t>
      "Ескертпе: Мектепке дейінгі ұйымдардың, орта білім беру ұйымдарының, интернаттық ұйымдардың, денсаулық сақтау және демалыс ұйымдарының, ойын – сауық мекемелері мен спорт құрылыстарының ғимараттарынан сыйымдылығы 100 м</w:t>
      </w:r>
      <w:r>
        <w:rPr>
          <w:rFonts w:ascii="Times New Roman"/>
          <w:b w:val="false"/>
          <w:i w:val="false"/>
          <w:color w:val="000000"/>
          <w:vertAlign w:val="superscript"/>
        </w:rPr>
        <w:t>3</w:t>
      </w:r>
      <w:r>
        <w:rPr>
          <w:rFonts w:ascii="Times New Roman"/>
          <w:b w:val="false"/>
          <w:i w:val="false"/>
          <w:color w:val="000000"/>
          <w:sz w:val="28"/>
        </w:rPr>
        <w:t xml:space="preserve"> дейінгі қоймаларға дейінгі арақашықтықты екі есе ұлғайтуға, ал сыйымдылығы 100 м</w:t>
      </w:r>
      <w:r>
        <w:rPr>
          <w:rFonts w:ascii="Times New Roman"/>
          <w:b w:val="false"/>
          <w:i w:val="false"/>
          <w:color w:val="000000"/>
          <w:vertAlign w:val="superscript"/>
        </w:rPr>
        <w:t>3</w:t>
      </w:r>
      <w:r>
        <w:rPr>
          <w:rFonts w:ascii="Times New Roman"/>
          <w:b w:val="false"/>
          <w:i w:val="false"/>
          <w:color w:val="000000"/>
          <w:sz w:val="28"/>
        </w:rPr>
        <w:t xml:space="preserve"> асатын қоймаларға дейін-сәулет, қала құрылысы және құрылыс саласындағы нормативтік құжаттардың талаптарына сәйкес қабылдауға жол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8-қосымшаның </w:t>
      </w:r>
      <w:r>
        <w:rPr>
          <w:rFonts w:ascii="Times New Roman"/>
          <w:b w:val="false"/>
          <w:i w:val="false"/>
          <w:color w:val="000000"/>
          <w:sz w:val="28"/>
        </w:rPr>
        <w:t>1-кестесі</w:t>
      </w:r>
      <w:r>
        <w:rPr>
          <w:rFonts w:ascii="Times New Roman"/>
          <w:b w:val="false"/>
          <w:i w:val="false"/>
          <w:color w:val="000000"/>
          <w:sz w:val="28"/>
        </w:rPr>
        <w:t xml:space="preserve"> ескертпелерінің 1-тармағы мынадай редакцияда жазылсын:</w:t>
      </w:r>
    </w:p>
    <w:bookmarkStart w:name="z25" w:id="8"/>
    <w:p>
      <w:pPr>
        <w:spacing w:after="0"/>
        <w:ind w:left="0"/>
        <w:jc w:val="both"/>
      </w:pPr>
      <w:r>
        <w:rPr>
          <w:rFonts w:ascii="Times New Roman"/>
          <w:b w:val="false"/>
          <w:i w:val="false"/>
          <w:color w:val="000000"/>
          <w:sz w:val="28"/>
        </w:rPr>
        <w:t>
      "1. Қашықтықты отын сақтайтын жерасты резервуарларынан, тарату бағандарынан, автоцистернадан төгуге арналған құрылыстан мектепке дейінгі ұйымдар, орта білім беру ұйымдары, интернаттық ұйымдар, стационарлық жағдайда медициналық көмек көрсететін медициналық ұйымдарға жер телімдерінің шекараларына дейін немесе тұрғын үй және өзге арналған қоғамдық ғимараттар қабырғаларына дейін анықтау керек.";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қауіпсіздігіне қойылатын жалпы талаптар" техникалық регламентіне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7" w:id="9"/>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9"/>
    <w:bookmarkStart w:name="z28"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9" w:id="1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12"/>
    <w:bookmarkStart w:name="z3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xml:space="preserve">№ 116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"Өрт қауіпсіздігіне қойылатын </w:t>
            </w:r>
            <w:r>
              <w:br/>
            </w:r>
            <w:r>
              <w:rPr>
                <w:rFonts w:ascii="Times New Roman"/>
                <w:b w:val="false"/>
                <w:i w:val="false"/>
                <w:color w:val="000000"/>
                <w:sz w:val="20"/>
              </w:rPr>
              <w:t xml:space="preserve">жалпы талаптар" </w:t>
            </w:r>
            <w:r>
              <w:br/>
            </w:r>
            <w:r>
              <w:rPr>
                <w:rFonts w:ascii="Times New Roman"/>
                <w:b w:val="false"/>
                <w:i w:val="false"/>
                <w:color w:val="000000"/>
                <w:sz w:val="20"/>
              </w:rPr>
              <w:t xml:space="preserve">техникалық регламентіне </w:t>
            </w:r>
            <w:r>
              <w:br/>
            </w:r>
            <w:r>
              <w:rPr>
                <w:rFonts w:ascii="Times New Roman"/>
                <w:b w:val="false"/>
                <w:i w:val="false"/>
                <w:color w:val="000000"/>
                <w:sz w:val="20"/>
              </w:rPr>
              <w:t>9-қосымша</w:t>
            </w:r>
          </w:p>
        </w:tc>
      </w:tr>
    </w:tbl>
    <w:bookmarkStart w:name="z35" w:id="14"/>
    <w:p>
      <w:pPr>
        <w:spacing w:after="0"/>
        <w:ind w:left="0"/>
        <w:jc w:val="left"/>
      </w:pPr>
      <w:r>
        <w:rPr>
          <w:rFonts w:ascii="Times New Roman"/>
          <w:b/>
          <w:i w:val="false"/>
          <w:color w:val="000000"/>
        </w:rPr>
        <w:t xml:space="preserve"> Көлік құралдарын сақтау мен қызмет көрсету орындарына дейін өртке қарсы қашықтықтар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дейінгі қашықтық анықталатын ғимарат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Көрші ғимаратқа дейінгі қашықтық,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автомобильдер саны жағдайда гараждар мен ашық тұраққа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жағдайда техникалық қызмет көрсету станциясынан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Жақтаулы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Тұйық қабырғаға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ғимарат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мектепке дейінгі ұйымдар, интернаттық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 медициналық көмек көрсететін медициналық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жақшада отқа төзімділік деңгейлері III - IV гараждар үшін мән көрсетілген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