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43db" w14:textId="36d4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27 қазандағы № 1094 бұйрығы. Қазақстан Республикасының Әділет министрлігінде 2022 жылғы 27 қазанда № 30330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171-4-тармақпен толықтырылсын:</w:t>
      </w:r>
    </w:p>
    <w:bookmarkEnd w:id="1"/>
    <w:bookmarkStart w:name="z5" w:id="2"/>
    <w:p>
      <w:pPr>
        <w:spacing w:after="0"/>
        <w:ind w:left="0"/>
        <w:jc w:val="both"/>
      </w:pPr>
      <w:r>
        <w:rPr>
          <w:rFonts w:ascii="Times New Roman"/>
          <w:b w:val="false"/>
          <w:i w:val="false"/>
          <w:color w:val="000000"/>
          <w:sz w:val="28"/>
        </w:rPr>
        <w:t>
      "171-4. Шығыстардың экономикалық сыныптамасының 431 "Жаңа объектілер салу және қолданыстағы объектілерді реконструкциялау" ерекшелiгi бойынша биологиялық қауіпсіздік саласындағы объектілерді салу үшін мердiгер ұйым жабдықты төлеу сомасына жеткiзу жөніндегі шарттық мiндеттемелердi уақтылы орындауға екiншi деңгейдегi банктiң кепiлдiгiн берген жағдайда, дайындаудың технологиялық мерзімі алты ай және одан да көп болатын инвестициялық жобаларды іске асыру шеңберінде технологиялық жабдық құнының 100 пайызы мөлшерінде аванстық (алдын ала) төлемге жол беріледі.".</w:t>
      </w:r>
    </w:p>
    <w:bookmarkEnd w:id="2"/>
    <w:bookmarkStart w:name="z6" w:id="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4"/>
    <w:bookmarkStart w:name="z8"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10" w:id="6"/>
    <w:p>
      <w:pPr>
        <w:spacing w:after="0"/>
        <w:ind w:left="0"/>
        <w:jc w:val="both"/>
      </w:pPr>
      <w:r>
        <w:rPr>
          <w:rFonts w:ascii="Times New Roman"/>
          <w:b w:val="false"/>
          <w:i w:val="false"/>
          <w:color w:val="000000"/>
          <w:sz w:val="28"/>
        </w:rPr>
        <w:t xml:space="preserve">
      3. Осы бұйрық алғашқы ресми жарияланған күнінен кейін он күнтізбелік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