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fc8b" w14:textId="346f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қозғалысына қызмет көрсетуге қажеттілікті бағалау әдістемесін бекіту туралы" Қазақстан Республикасы Инвестициялар және даму министрінің 2017 жылғы 19 маусымдағы № 361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21 қазандағы № 586 бұйрығы. Қазақстан Республикасының Әділет министрлігінде 2022 жылғы 28 қазанда № 30338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"Әуе қозғалысына қызмет көрсетуге қажеттілікті бағалау әдістемесін бекіту туралы" Қазақстан Республикасы Инвестициялар және даму министрінің 2017 жылғы 19 маусымдағы № 361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15364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Әуе қозғалысына қызмет көрсетуге қажеттілікті бағалау </w:t>
      </w:r>
      <w:r>
        <w:rPr>
          <w:rFonts w:ascii="Times New Roman"/>
          <w:b w:val="false"/>
          <w:i w:val="false"/>
          <w:color w:val="000000"/>
          <w:sz w:val="28"/>
        </w:rPr>
        <w:t>әдістемесінде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 w:id="2"/>
    <w:p>
      <w:pPr>
        <w:spacing w:after="0"/>
        <w:ind w:left="0"/>
        <w:jc w:val="both"/>
      </w:pPr>
      <w:r>
        <w:rPr>
          <w:rFonts w:ascii="Times New Roman"/>
          <w:b w:val="false"/>
          <w:i w:val="false"/>
          <w:color w:val="000000"/>
          <w:sz w:val="28"/>
        </w:rPr>
        <w:t xml:space="preserve">
      "1. Әуе қозғалысына қызмет көрсетуге қажеттілікті бағалау әдістемесі (бұдан әрі – Әдістеме) "Қазақстан Республикасының әуе кеңістігін пайдалану және авиация қызметі туралы" Қазақстан Республикасының Заңы 17-бабының </w:t>
      </w:r>
      <w:r>
        <w:rPr>
          <w:rFonts w:ascii="Times New Roman"/>
          <w:b w:val="false"/>
          <w:i w:val="false"/>
          <w:color w:val="000000"/>
          <w:sz w:val="28"/>
        </w:rPr>
        <w:t>4-2-тармағына</w:t>
      </w:r>
      <w:r>
        <w:rPr>
          <w:rFonts w:ascii="Times New Roman"/>
          <w:b w:val="false"/>
          <w:i w:val="false"/>
          <w:color w:val="000000"/>
          <w:sz w:val="28"/>
        </w:rPr>
        <w:t xml:space="preserve"> сәйкес әзірленген және әуе қозғалысына қызмет көрсетуге қажеттілікті бағалау үшін қолданылады.";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xml:space="preserve">№ 586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қозғалысына қызмет</w:t>
            </w:r>
            <w:r>
              <w:br/>
            </w:r>
            <w:r>
              <w:rPr>
                <w:rFonts w:ascii="Times New Roman"/>
                <w:b w:val="false"/>
                <w:i w:val="false"/>
                <w:color w:val="000000"/>
                <w:sz w:val="20"/>
              </w:rPr>
              <w:t xml:space="preserve">көрсетуге қажеттілікті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ӘҚК түрлерінің күрделілігі мен олардың қажеттілігін айқындау сыныптамасы</w:t>
      </w:r>
    </w:p>
    <w:bookmarkEnd w:id="8"/>
    <w:bookmarkStart w:name="z15" w:id="9"/>
    <w:p>
      <w:pPr>
        <w:spacing w:after="0"/>
        <w:ind w:left="0"/>
        <w:jc w:val="both"/>
      </w:pPr>
      <w:r>
        <w:rPr>
          <w:rFonts w:ascii="Times New Roman"/>
          <w:b w:val="false"/>
          <w:i w:val="false"/>
          <w:color w:val="000000"/>
          <w:sz w:val="28"/>
        </w:rPr>
        <w:t>
      1-кесте. ӘҚК түрлерінің күрделілік сыныптамасы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ӘҚК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деңгейі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ұшу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диспетчерлік қызмет көрсету (жақындау диспетчерлік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күрделі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 ұшу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күрделі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ұшу-ақпараттық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w:t>
            </w:r>
          </w:p>
        </w:tc>
      </w:tr>
    </w:tbl>
    <w:bookmarkStart w:name="z16" w:id="10"/>
    <w:p>
      <w:pPr>
        <w:spacing w:after="0"/>
        <w:ind w:left="0"/>
        <w:jc w:val="both"/>
      </w:pPr>
      <w:r>
        <w:rPr>
          <w:rFonts w:ascii="Times New Roman"/>
          <w:b w:val="false"/>
          <w:i w:val="false"/>
          <w:color w:val="000000"/>
          <w:sz w:val="28"/>
        </w:rPr>
        <w:t>
      2-кесте. Ұшу түрі мен метеорологиялық жағдайға қарай маршрут бойынша ұшу кезеңі үшін ӘҚК түрінің қажеттілігі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ӘҚК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рейс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қағидалары бойынша ұшу (АҰҚ)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ҰКҚ ұшу қағидалары бойынша ұшу (ВҰҚ)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диспетчерлік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Аудандық диспетчерлік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Жақындау диспетчерлік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хабарлау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Маршруттағы ұшу кезеңі үшін ӘҚК түрі қажетігінің ұшу түрі және әуе қозғалысының метеорологиялық жағдайға байланысты "+" белгісімен көрсетіледі.</w:t>
      </w:r>
    </w:p>
    <w:p>
      <w:pPr>
        <w:spacing w:after="0"/>
        <w:ind w:left="0"/>
        <w:jc w:val="both"/>
      </w:pPr>
      <w:r>
        <w:rPr>
          <w:rFonts w:ascii="Times New Roman"/>
          <w:b w:val="false"/>
          <w:i w:val="false"/>
          <w:color w:val="000000"/>
          <w:sz w:val="28"/>
        </w:rPr>
        <w:t>
      * Аудандық диспетчерлік қызмет көрсету "ауа-жер" тұрақты радиобайланыс болған кезде және аэронавигациялық ұйым жүргізген тәуекелді бағалауға сәйкес қамтамасыз етіледі.</w:t>
      </w:r>
    </w:p>
    <w:bookmarkStart w:name="z17" w:id="11"/>
    <w:p>
      <w:pPr>
        <w:spacing w:after="0"/>
        <w:ind w:left="0"/>
        <w:jc w:val="both"/>
      </w:pPr>
      <w:r>
        <w:rPr>
          <w:rFonts w:ascii="Times New Roman"/>
          <w:b w:val="false"/>
          <w:i w:val="false"/>
          <w:color w:val="000000"/>
          <w:sz w:val="28"/>
        </w:rPr>
        <w:t>
      3-кесте. Әуеайлақ мәртебесіне, сондай-ақ ұшу қарқындылығына (санына) қарай ӘҚК түріне қажеттілік</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Әуеайлақтағы ұшу қарқындылығы (ұшу-қону операцияларының бір жылдағы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факторлар (әуеайлақты сертификаттау)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(сертификатталған 24 немесе одан асатын жолаушылар орны бар әуе кемелерінде ВҰҚ бойынша 10 000 асатын немесе АҰҚ бойынша 1500 немесе одан асатын немесе АҰҚ бойынша тұрақты ұшу немесе ВҰҚ бойынша тұрақты ұшу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(ИКАО I-III санаты бойынша сертификатталатын барлық)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ұшу-ақпараттық диспетчерлік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(сертификатталған 19 немесе одан асатын жолаушылар орны бар әуе кемелерінде ВҰҚ бойынша 5000 асатын немесе АҰҚ бойынша 500 немесе одан асатын немесе ВҰҚ бойынша тұрақты ұшу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қалған сертификатталған әуеайлақтар)</w:t>
            </w:r>
          </w:p>
        </w:tc>
      </w:tr>
    </w:tbl>
    <w:p>
      <w:pPr>
        <w:spacing w:after="0"/>
        <w:ind w:left="0"/>
        <w:jc w:val="both"/>
      </w:pPr>
      <w:r>
        <w:rPr>
          <w:rFonts w:ascii="Times New Roman"/>
          <w:b w:val="false"/>
          <w:i w:val="false"/>
          <w:color w:val="000000"/>
          <w:sz w:val="28"/>
        </w:rPr>
        <w:t>
      * бір жылда ұшып-қону операцияларының саны ӘҚК қажеттілігін бағалау алдындағы күнтізбелік үш жылдың нәтижелері бойынша орташа ретінде айқындалады. Қайта ашылатын әуежайлар үшін бағалау әуеайлақты әлеуетті пайдаланушылармен кеңесу негізінде анықталған әуеайлақты пайдаланушыларды болжамды деректері бойынша жүзеге асырылады;</w:t>
      </w:r>
    </w:p>
    <w:p>
      <w:pPr>
        <w:spacing w:after="0"/>
        <w:ind w:left="0"/>
        <w:jc w:val="both"/>
      </w:pPr>
      <w:r>
        <w:rPr>
          <w:rFonts w:ascii="Times New Roman"/>
          <w:b w:val="false"/>
          <w:i w:val="false"/>
          <w:color w:val="000000"/>
          <w:sz w:val="28"/>
        </w:rPr>
        <w:t>
      Әуе айлақтың сертификатталуына, сондай-ақ әуе қозғалысының қарқындылығына (санына) байланысты ӘҚК түрінің қажетігі "+" белгісімен көрсетіледі;</w:t>
      </w:r>
    </w:p>
    <w:p>
      <w:pPr>
        <w:spacing w:after="0"/>
        <w:ind w:left="0"/>
        <w:jc w:val="both"/>
      </w:pPr>
      <w:r>
        <w:rPr>
          <w:rFonts w:ascii="Times New Roman"/>
          <w:b w:val="false"/>
          <w:i w:val="false"/>
          <w:color w:val="000000"/>
          <w:sz w:val="28"/>
        </w:rPr>
        <w:t>
      ӘҚҚ бақылау жүйесіне қажеттілікті аэронавигациялық қызмет көрсетуді беруші айқындайды. Мұндай қажеттілік әуе қозғалысының тығыздығы (қарқындылығы) рәсімдік эшелондауды қолдану ӘҚҚ органдары тарапынан әуе кемелерінің кідіруіне әкеп соқтыратындай болғанда туындайды.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