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6dd7" w14:textId="b5d6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27 қазандағы № 430 бұйрығы. Қазақстан Республикасының Әділет министрлігінде 2022 жылғы 28 қазанда № 30349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16899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"Білім туралы" Қазақстан Республикасы Заңының </w:t>
      </w:r>
      <w:r>
        <w:rPr>
          <w:rFonts w:ascii="Times New Roman"/>
          <w:b w:val="false"/>
          <w:i w:val="false"/>
          <w:color w:val="000000"/>
          <w:sz w:val="28"/>
        </w:rPr>
        <w:t>63-бабына</w:t>
      </w:r>
      <w:r>
        <w:rPr>
          <w:rFonts w:ascii="Times New Roman"/>
          <w:b w:val="false"/>
          <w:i w:val="false"/>
          <w:color w:val="000000"/>
          <w:sz w:val="28"/>
        </w:rPr>
        <w:t xml:space="preserve"> сәйкес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тиісті тауарлар (жұмыстар, көрсетілетін қызметтер) бойынша ақылы негізде мынадай:</w:t>
      </w:r>
    </w:p>
    <w:bookmarkEnd w:id="3"/>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pPr>
        <w:spacing w:after="0"/>
        <w:ind w:left="0"/>
        <w:jc w:val="both"/>
      </w:pPr>
      <w:r>
        <w:rPr>
          <w:rFonts w:ascii="Times New Roman"/>
          <w:b w:val="false"/>
          <w:i w:val="false"/>
          <w:color w:val="000000"/>
          <w:sz w:val="28"/>
        </w:rPr>
        <w:t>
      2)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p>
      <w:pPr>
        <w:spacing w:after="0"/>
        <w:ind w:left="0"/>
        <w:jc w:val="both"/>
      </w:pPr>
      <w:r>
        <w:rPr>
          <w:rFonts w:ascii="Times New Roman"/>
          <w:b w:val="false"/>
          <w:i w:val="false"/>
          <w:color w:val="000000"/>
          <w:sz w:val="28"/>
        </w:rPr>
        <w:t>
      4) білім алушылар мен тәрбиеленушілер, педагог қызметкерлер мен ересек жұртшылық арасында әртүрлі: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w:t>
      </w:r>
    </w:p>
    <w:p>
      <w:pPr>
        <w:spacing w:after="0"/>
        <w:ind w:left="0"/>
        <w:jc w:val="both"/>
      </w:pPr>
      <w:r>
        <w:rPr>
          <w:rFonts w:ascii="Times New Roman"/>
          <w:b w:val="false"/>
          <w:i w:val="false"/>
          <w:color w:val="000000"/>
          <w:sz w:val="28"/>
        </w:rPr>
        <w:t>
      10) ғылыми зерттеулерді жүргізу;</w:t>
      </w:r>
    </w:p>
    <w:p>
      <w:pPr>
        <w:spacing w:after="0"/>
        <w:ind w:left="0"/>
        <w:jc w:val="both"/>
      </w:pPr>
      <w:r>
        <w:rPr>
          <w:rFonts w:ascii="Times New Roman"/>
          <w:b w:val="false"/>
          <w:i w:val="false"/>
          <w:color w:val="000000"/>
          <w:sz w:val="28"/>
        </w:rPr>
        <w:t>
      11) мемлекеттік орта білім беру ұйымдары дене шынықтыру-сауықтыру және спорт құрылысжайларын мүліктік жалдауға (жалға) беру бойынша ақылы негізде қызметтер ұсынады.</w:t>
      </w:r>
    </w:p>
    <w:p>
      <w:pPr>
        <w:spacing w:after="0"/>
        <w:ind w:left="0"/>
        <w:jc w:val="both"/>
      </w:pPr>
      <w:r>
        <w:rPr>
          <w:rFonts w:ascii="Times New Roman"/>
          <w:b w:val="false"/>
          <w:i w:val="false"/>
          <w:color w:val="000000"/>
          <w:sz w:val="28"/>
        </w:rPr>
        <w:t>
      Әскери, арнаулы оқу орындары да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қағидаларына сәйкес мемлекеттік жалпы білім беру стандарттарының талаптарынан тыс ақылы негізде тауарларды (жұмыстарды, көрсетілетін қызметтерді) ұсынуға құқылы.".</w:t>
      </w:r>
    </w:p>
    <w:bookmarkStart w:name="z6" w:id="4"/>
    <w:p>
      <w:pPr>
        <w:spacing w:after="0"/>
        <w:ind w:left="0"/>
        <w:jc w:val="both"/>
      </w:pPr>
      <w:r>
        <w:rPr>
          <w:rFonts w:ascii="Times New Roman"/>
          <w:b w:val="false"/>
          <w:i w:val="false"/>
          <w:color w:val="000000"/>
          <w:sz w:val="28"/>
        </w:rPr>
        <w:t>
      2. Қазақстан Республикасы Оқу-ағарту министрлігінің Қаржы және бюджеттік жоспарлау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Оқу-ағарту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қолданысқан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