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94ed" w14:textId="6669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15 желтоқсандағы № 551 бұйрығы. Қазақстан Республикасының Әділет министрлігінде 2022 жылғы 15 желтоқсанда № 31129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"Миссионерлік қызметті жүзеге асыратын тұлғаларды тіркеуді және қайта тіркеуді жүргізу" мемлекеттік қызмет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көрсету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 көрсету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"Ғибадат үйлерін (ғимараттарын) салу және олардың орналасатын жерін айқындау туралы шешім беру" мемлекеттік қызмет көрсету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"Ғибадат үйлерін (ғимараттарын) салу және олардың орналасатын жерін айқындау туралы шешім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"5. Көрсетілетін қызметті алушы құжаттардың толық топтамасын ұсынған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2"/>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ғибадат үйлерін (ғимараттарын) салу және олардың орналасатын жерін айқындау туралы шешімнің жобасын келіседі.</w:t>
      </w:r>
    </w:p>
    <w:p>
      <w:pPr>
        <w:spacing w:after="0"/>
        <w:ind w:left="0"/>
        <w:jc w:val="both"/>
      </w:pPr>
      <w:r>
        <w:rPr>
          <w:rFonts w:ascii="Times New Roman"/>
          <w:b w:val="false"/>
          <w:i w:val="false"/>
          <w:color w:val="000000"/>
          <w:sz w:val="28"/>
        </w:rPr>
        <w:t>
      Жауапты орындаушы 4 (төрт) жұмыс күні ішінде ғибадат үйлерін (ғимараттарын) салу және олардың орналасатын жерін айқындау туралы шешімді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шешімді қоса бере отырып, оған қол қойылғанға дейін 3 (үш) жұмыс күні бұрын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Қызмет алушыдан қарсылық түскенде, оны қарау нәтижесі бойынша көрсетілетін қызметті беруші ғибадат үйлерін (ғимараттарын) салу және олардың орналасатын жерін айқындау туралы шешімді не көрсетілетін қызметті алушыға жіберілетін мемлекеттік қызметті көрсетуден уәжді бас тартуды береді.</w:t>
      </w:r>
    </w:p>
    <w:p>
      <w:pPr>
        <w:spacing w:after="0"/>
        <w:ind w:left="0"/>
        <w:jc w:val="both"/>
      </w:pPr>
      <w:r>
        <w:rPr>
          <w:rFonts w:ascii="Times New Roman"/>
          <w:b w:val="false"/>
          <w:i w:val="false"/>
          <w:color w:val="000000"/>
          <w:sz w:val="28"/>
        </w:rPr>
        <w:t>
      Порталда мемлекеттік қызметті көрсету нәтижесі – ғибадат үйлерін (ғимараттарын) салу, олардың орналасқан жерін айқындау туралы шешімнің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5-қосымша".</w:t>
            </w:r>
          </w:p>
        </w:tc>
      </w:tr>
    </w:tbl>
    <w:bookmarkStart w:name="z13"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4"/>
    <w:bookmarkStart w:name="z14"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5" w:id="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1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1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