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87b2" w14:textId="bef8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"Лотерея операторына қатысты Қазақстан Республикасының лотереялар және лотерея қызметі туралы заңнамасын сақтаудың мемлекеттік бақылау саласындағы тексеру парағын бекіту туралы" Қазақстан Республикасы Мәдениет және спорт министрінің 2016 жылғы 29 маусымдағы № 195 және Қазақстан Республикасы Ұлттық экономика министрінің 2016 жылғы 18 шілдедегі № 323 бірлескен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2022 жылғы 22 желтоқсандағы № 380 және Қазақстан Республикасы Ұлттық экономика министрінің 2022 жылғы 22 желтоқсандағы № 136 бірлескен бұйрығы. Қазақстан Республикасының Әділет министрлігінде 2022 жылғы 23 желтоқсанда № 31230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"Лотерея операторына қатысты Қазақстан Республикасының лотереялар және лотерея қызметі туралы заңнамасын сақтаудың мемлекеттік бақылау саласындағы тексеру парағын бекіту туралы" Қазақстан Республикасы Мәдениет және спорт министрінің 2016 жылғы 29 маусымдағы № 195 және Қазақстан Республикасы Ұлттық экономика министрінің 2016 жылғы 18 шілдедегі № 323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14142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"Лотерея операторына қатысты Қазақстан Республикасының лотерея және лотерея қызметі туралы заңнаманы сақтаудағы тәуекел дәрежесін бағалау өлшемшарттарын және тексеру парағын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1) осы бірлескен бұйрыққа 1-1-қосымшаға сәйкес лотерея операторына қатысты Қазақстан Республикасының лотереялар және лотерея қызметі туралы заңнамасының сақталуына тәуекел дәрежесін бағалаудың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лотерея операторына қатысты Қазақстан Республикасының лотерея және лотерея қызметі туралы заңнамасын сақтаудың тексеру парағы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бірлескен бұйрыққа 1-1-қосымшамен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1" w:id="3"/>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заңнамамен белгіленген тәртіппен:</w:t>
      </w:r>
    </w:p>
    <w:bookmarkEnd w:id="3"/>
    <w:bookmarkStart w:name="z12"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
    <w:bookmarkStart w:name="z13" w:id="5"/>
    <w:p>
      <w:pPr>
        <w:spacing w:after="0"/>
        <w:ind w:left="0"/>
        <w:jc w:val="both"/>
      </w:pPr>
      <w:r>
        <w:rPr>
          <w:rFonts w:ascii="Times New Roman"/>
          <w:b w:val="false"/>
          <w:i w:val="false"/>
          <w:color w:val="000000"/>
          <w:sz w:val="28"/>
        </w:rPr>
        <w:t>
      2) осы бірлескен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5"/>
    <w:bookmarkStart w:name="z14" w:id="6"/>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w:t>
      </w:r>
    </w:p>
    <w:bookmarkEnd w:id="6"/>
    <w:bookmarkStart w:name="z15"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Мәдениет және спорт вице-министріне жүктелсін.</w:t>
      </w:r>
    </w:p>
    <w:bookmarkEnd w:id="7"/>
    <w:bookmarkStart w:name="z16" w:id="8"/>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 және ресми түрде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xml:space="preserve">№ 136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22 желтоқсандағы</w:t>
            </w:r>
            <w:r>
              <w:br/>
            </w:r>
            <w:r>
              <w:rPr>
                <w:rFonts w:ascii="Times New Roman"/>
                <w:b w:val="false"/>
                <w:i w:val="false"/>
                <w:color w:val="000000"/>
                <w:sz w:val="20"/>
              </w:rPr>
              <w:t>№ 380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2016 жылғы 29 маусымдағы </w:t>
            </w:r>
            <w:r>
              <w:br/>
            </w:r>
            <w:r>
              <w:rPr>
                <w:rFonts w:ascii="Times New Roman"/>
                <w:b w:val="false"/>
                <w:i w:val="false"/>
                <w:color w:val="000000"/>
                <w:sz w:val="20"/>
              </w:rPr>
              <w:t xml:space="preserve">№ 195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2016 жылғы 18 шілдедегі </w:t>
            </w:r>
            <w:r>
              <w:br/>
            </w:r>
            <w:r>
              <w:rPr>
                <w:rFonts w:ascii="Times New Roman"/>
                <w:b w:val="false"/>
                <w:i w:val="false"/>
                <w:color w:val="000000"/>
                <w:sz w:val="20"/>
              </w:rPr>
              <w:t xml:space="preserve">№ 323 бірлескен бұйрығына </w:t>
            </w:r>
            <w:r>
              <w:br/>
            </w:r>
            <w:r>
              <w:rPr>
                <w:rFonts w:ascii="Times New Roman"/>
                <w:b w:val="false"/>
                <w:i w:val="false"/>
                <w:color w:val="000000"/>
                <w:sz w:val="20"/>
              </w:rPr>
              <w:t>1-1-қосымша</w:t>
            </w:r>
          </w:p>
        </w:tc>
      </w:tr>
    </w:tbl>
    <w:bookmarkStart w:name="z19" w:id="9"/>
    <w:p>
      <w:pPr>
        <w:spacing w:after="0"/>
        <w:ind w:left="0"/>
        <w:jc w:val="left"/>
      </w:pPr>
      <w:r>
        <w:rPr>
          <w:rFonts w:ascii="Times New Roman"/>
          <w:b/>
          <w:i w:val="false"/>
          <w:color w:val="000000"/>
        </w:rPr>
        <w:t xml:space="preserve"> Лотерея және лотерея қызметінің операторына арналған Қазақстан Республикасының лотерея және лотерея қызметі туралы заңнаманы сақтаудағы тәуекел дәрежесін бағалаудың өлшемшарттары</w:t>
      </w:r>
    </w:p>
    <w:bookmarkEnd w:id="9"/>
    <w:bookmarkStart w:name="z20" w:id="10"/>
    <w:p>
      <w:pPr>
        <w:spacing w:after="0"/>
        <w:ind w:left="0"/>
        <w:jc w:val="left"/>
      </w:pPr>
      <w:r>
        <w:rPr>
          <w:rFonts w:ascii="Times New Roman"/>
          <w:b/>
          <w:i w:val="false"/>
          <w:color w:val="000000"/>
        </w:rPr>
        <w:t xml:space="preserve"> 1-тарау. Жалпы ережелер</w:t>
      </w:r>
    </w:p>
    <w:bookmarkEnd w:id="10"/>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лотереялар және лотерея қызметі туралы заңнамасының сақталуына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сондай-ақ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әзірленді және лотерея және лотерея қызметі саласындағы бақылау субъектілерін іріктеу үшін және оларды бақылау субъектісіне бару арқылы профилактикалық бақылау жүргізу кезінде тәуекелдер дәрежесіне жатқызуға арналған.</w:t>
      </w:r>
    </w:p>
    <w:bookmarkStart w:name="z22" w:id="11"/>
    <w:p>
      <w:pPr>
        <w:spacing w:after="0"/>
        <w:ind w:left="0"/>
        <w:jc w:val="both"/>
      </w:pPr>
      <w:r>
        <w:rPr>
          <w:rFonts w:ascii="Times New Roman"/>
          <w:b w:val="false"/>
          <w:i w:val="false"/>
          <w:color w:val="000000"/>
          <w:sz w:val="28"/>
        </w:rPr>
        <w:t>
      2. Осы өлшемшарттарда мынадай ұғымдар пайдаланылады:</w:t>
      </w:r>
    </w:p>
    <w:bookmarkEnd w:id="11"/>
    <w:bookmarkStart w:name="z23" w:id="12"/>
    <w:p>
      <w:pPr>
        <w:spacing w:after="0"/>
        <w:ind w:left="0"/>
        <w:jc w:val="both"/>
      </w:pPr>
      <w:r>
        <w:rPr>
          <w:rFonts w:ascii="Times New Roman"/>
          <w:b w:val="false"/>
          <w:i w:val="false"/>
          <w:color w:val="000000"/>
          <w:sz w:val="28"/>
        </w:rPr>
        <w:t>
      1) бақылау субъектісі – қызметі бақыланатын лотереяларды өткізу жөніндегі қызметті жүзеге асыратын, Қазақстан Республикасының Үкіметі айқындайтын заңды тұлға;</w:t>
      </w:r>
    </w:p>
    <w:bookmarkEnd w:id="12"/>
    <w:bookmarkStart w:name="z24" w:id="13"/>
    <w:p>
      <w:pPr>
        <w:spacing w:after="0"/>
        <w:ind w:left="0"/>
        <w:jc w:val="both"/>
      </w:pPr>
      <w:r>
        <w:rPr>
          <w:rFonts w:ascii="Times New Roman"/>
          <w:b w:val="false"/>
          <w:i w:val="false"/>
          <w:color w:val="000000"/>
          <w:sz w:val="28"/>
        </w:rPr>
        <w:t>
      2) болмашы бұзушылықтар – Қазақстан Республикасының лотереялар және лотерея қызметі туралы заңнамасының талаптарын бұзушылықтар, оларды сақтамау жеке және заңды тұлғалардың, мемлекеттің заңды мүдделеріне қатер төндірмейді;</w:t>
      </w:r>
    </w:p>
    <w:bookmarkEnd w:id="13"/>
    <w:bookmarkStart w:name="z25" w:id="14"/>
    <w:p>
      <w:pPr>
        <w:spacing w:after="0"/>
        <w:ind w:left="0"/>
        <w:jc w:val="both"/>
      </w:pPr>
      <w:r>
        <w:rPr>
          <w:rFonts w:ascii="Times New Roman"/>
          <w:b w:val="false"/>
          <w:i w:val="false"/>
          <w:color w:val="000000"/>
          <w:sz w:val="28"/>
        </w:rPr>
        <w:t>
      3) елеулі бұзушылықтар – Қазақстан Республикасының лотереялар және лотерея қызметі туралы заңнамасының талаптарын бұзу, оларды сақтамау жеке және заңды тұлғалардың, мемлекеттің заңды мүдделеріне елеулі қатер төндірмейді;</w:t>
      </w:r>
    </w:p>
    <w:bookmarkEnd w:id="14"/>
    <w:bookmarkStart w:name="z26" w:id="15"/>
    <w:p>
      <w:pPr>
        <w:spacing w:after="0"/>
        <w:ind w:left="0"/>
        <w:jc w:val="both"/>
      </w:pPr>
      <w:r>
        <w:rPr>
          <w:rFonts w:ascii="Times New Roman"/>
          <w:b w:val="false"/>
          <w:i w:val="false"/>
          <w:color w:val="000000"/>
          <w:sz w:val="28"/>
        </w:rPr>
        <w:t>
      4) өрескел бұзушылықтар –жеке және заңды тұлғалардың, мемлекеттің құқықтарының, заңды мүдделерінің елеулі бұзылуына әкеп соғуы мүмкін Қазақстан Республикасының лотереялар және лотерея қызметі туралы заңнамасының талаптарын бұзу.</w:t>
      </w:r>
    </w:p>
    <w:bookmarkEnd w:id="15"/>
    <w:bookmarkStart w:name="z27" w:id="16"/>
    <w:p>
      <w:pPr>
        <w:spacing w:after="0"/>
        <w:ind w:left="0"/>
        <w:jc w:val="both"/>
      </w:pPr>
      <w:r>
        <w:rPr>
          <w:rFonts w:ascii="Times New Roman"/>
          <w:b w:val="false"/>
          <w:i w:val="false"/>
          <w:color w:val="000000"/>
          <w:sz w:val="28"/>
        </w:rPr>
        <w:t>
      5)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6"/>
    <w:bookmarkStart w:name="z28" w:id="17"/>
    <w:p>
      <w:pPr>
        <w:spacing w:after="0"/>
        <w:ind w:left="0"/>
        <w:jc w:val="both"/>
      </w:pPr>
      <w:r>
        <w:rPr>
          <w:rFonts w:ascii="Times New Roman"/>
          <w:b w:val="false"/>
          <w:i w:val="false"/>
          <w:color w:val="000000"/>
          <w:sz w:val="28"/>
        </w:rPr>
        <w:t>
      6)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7"/>
    <w:bookmarkStart w:name="z29" w:id="18"/>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және қадағалау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18"/>
    <w:bookmarkStart w:name="z30" w:id="19"/>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bookmarkEnd w:id="19"/>
    <w:bookmarkStart w:name="z31" w:id="20"/>
    <w:p>
      <w:pPr>
        <w:spacing w:after="0"/>
        <w:ind w:left="0"/>
        <w:jc w:val="both"/>
      </w:pPr>
      <w:r>
        <w:rPr>
          <w:rFonts w:ascii="Times New Roman"/>
          <w:b w:val="false"/>
          <w:i w:val="false"/>
          <w:color w:val="000000"/>
          <w:sz w:val="28"/>
        </w:rPr>
        <w:t>
      9)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үшін тәуекел деңгейін өзгертуге бағытталған басқарушылық шешімдерді қабылдау және (немесе) осындай субъектісін бақылау субъектісіне бару арқылы профилактикалық бақылаудан босату процесі;</w:t>
      </w:r>
    </w:p>
    <w:bookmarkEnd w:id="20"/>
    <w:bookmarkStart w:name="z32" w:id="21"/>
    <w:p>
      <w:pPr>
        <w:spacing w:after="0"/>
        <w:ind w:left="0"/>
        <w:jc w:val="both"/>
      </w:pPr>
      <w:r>
        <w:rPr>
          <w:rFonts w:ascii="Times New Roman"/>
          <w:b w:val="false"/>
          <w:i w:val="false"/>
          <w:color w:val="000000"/>
          <w:sz w:val="28"/>
        </w:rPr>
        <w:t>
      10)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bookmarkEnd w:id="21"/>
    <w:bookmarkStart w:name="z33" w:id="22"/>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жүргізу еселігі жүргізілетін талдау және субъективті өлшемдер бойынша алынатын мәліметтерді бағалау нәтижелері бойынша, бірақ жылына бір реттен жиілетпей айқындалады.</w:t>
      </w:r>
    </w:p>
    <w:bookmarkEnd w:id="22"/>
    <w:bookmarkStart w:name="z34" w:id="23"/>
    <w:p>
      <w:pPr>
        <w:spacing w:after="0"/>
        <w:ind w:left="0"/>
        <w:jc w:val="both"/>
      </w:pPr>
      <w:r>
        <w:rPr>
          <w:rFonts w:ascii="Times New Roman"/>
          <w:b w:val="false"/>
          <w:i w:val="false"/>
          <w:color w:val="000000"/>
          <w:sz w:val="28"/>
        </w:rPr>
        <w:t>
      4. Мемлекеттік органның бірінші басшысы бекіткен бақылау субъектісіне (объектісіне) бару арқылы профилактикалық бақылау жүргізудің жартыжылдық тізімі бақылау субъектісіне (объектісіне) бару арқылы профилактикалық бақылау тағайындау үшін негіз болып табылады.</w:t>
      </w:r>
    </w:p>
    <w:bookmarkEnd w:id="23"/>
    <w:bookmarkStart w:name="z35" w:id="24"/>
    <w:p>
      <w:pPr>
        <w:spacing w:after="0"/>
        <w:ind w:left="0"/>
        <w:jc w:val="both"/>
      </w:pPr>
      <w:r>
        <w:rPr>
          <w:rFonts w:ascii="Times New Roman"/>
          <w:b w:val="false"/>
          <w:i w:val="false"/>
          <w:color w:val="000000"/>
          <w:sz w:val="28"/>
        </w:rPr>
        <w:t>
      5. Бақылау субъектісіне (объектінің) бару арқылы профилактикалық бақылау субъектілерінің тізімі субъективті өлшемшарттар бойынша жоғары тәуекелдік дәрежесі бар бақылау субъектісінің басымдықтарын ескере отырып жасалады.</w:t>
      </w:r>
    </w:p>
    <w:bookmarkEnd w:id="24"/>
    <w:bookmarkStart w:name="z36" w:id="25"/>
    <w:p>
      <w:pPr>
        <w:spacing w:after="0"/>
        <w:ind w:left="0"/>
        <w:jc w:val="both"/>
      </w:pPr>
      <w:r>
        <w:rPr>
          <w:rFonts w:ascii="Times New Roman"/>
          <w:b w:val="false"/>
          <w:i w:val="false"/>
          <w:color w:val="000000"/>
          <w:sz w:val="28"/>
        </w:rPr>
        <w:t>
      6. Бақылау субъектісіне (объектісіне) бару арқылы профилактикалық бақылау үшін өлшемшарттар объективті және субъективті өлшемшарттар арқылы қалыптастырылады.</w:t>
      </w:r>
    </w:p>
    <w:bookmarkEnd w:id="25"/>
    <w:bookmarkStart w:name="z37" w:id="26"/>
    <w:p>
      <w:pPr>
        <w:spacing w:after="0"/>
        <w:ind w:left="0"/>
        <w:jc w:val="left"/>
      </w:pPr>
      <w:r>
        <w:rPr>
          <w:rFonts w:ascii="Times New Roman"/>
          <w:b/>
          <w:i w:val="false"/>
          <w:color w:val="000000"/>
        </w:rPr>
        <w:t xml:space="preserve"> 2-тарау. Бақылау субъектілерінің (объектілерінің) профилактикалық бақылау жүргізу кезінде тәуекелдерді бағалау және басқару жүйесін қалыптастыру тәртібі</w:t>
      </w:r>
    </w:p>
    <w:bookmarkEnd w:id="26"/>
    <w:bookmarkStart w:name="z38" w:id="27"/>
    <w:p>
      <w:pPr>
        <w:spacing w:after="0"/>
        <w:ind w:left="0"/>
        <w:jc w:val="both"/>
      </w:pPr>
      <w:r>
        <w:rPr>
          <w:rFonts w:ascii="Times New Roman"/>
          <w:b w:val="false"/>
          <w:i w:val="false"/>
          <w:color w:val="000000"/>
          <w:sz w:val="28"/>
        </w:rPr>
        <w:t>
      7. Бақылау субъектісіне (объектісіне) бару арқылы профилактикалық бақылауды жүзеге асыру кезінде бақылау субъектілері (объектілері) мынадай тәуекел дәрежелерінің біріне (бұдан әрі – тәуекел дәрежесі) жатады:</w:t>
      </w:r>
    </w:p>
    <w:bookmarkEnd w:id="27"/>
    <w:bookmarkStart w:name="z39" w:id="28"/>
    <w:p>
      <w:pPr>
        <w:spacing w:after="0"/>
        <w:ind w:left="0"/>
        <w:jc w:val="both"/>
      </w:pPr>
      <w:r>
        <w:rPr>
          <w:rFonts w:ascii="Times New Roman"/>
          <w:b w:val="false"/>
          <w:i w:val="false"/>
          <w:color w:val="000000"/>
          <w:sz w:val="28"/>
        </w:rPr>
        <w:t>
      1) жоғары тәуекел;</w:t>
      </w:r>
    </w:p>
    <w:bookmarkEnd w:id="28"/>
    <w:bookmarkStart w:name="z40" w:id="29"/>
    <w:p>
      <w:pPr>
        <w:spacing w:after="0"/>
        <w:ind w:left="0"/>
        <w:jc w:val="both"/>
      </w:pPr>
      <w:r>
        <w:rPr>
          <w:rFonts w:ascii="Times New Roman"/>
          <w:b w:val="false"/>
          <w:i w:val="false"/>
          <w:color w:val="000000"/>
          <w:sz w:val="28"/>
        </w:rPr>
        <w:t>
      2) орташа тәуекел;</w:t>
      </w:r>
    </w:p>
    <w:bookmarkEnd w:id="29"/>
    <w:bookmarkStart w:name="z41" w:id="30"/>
    <w:p>
      <w:pPr>
        <w:spacing w:after="0"/>
        <w:ind w:left="0"/>
        <w:jc w:val="both"/>
      </w:pPr>
      <w:r>
        <w:rPr>
          <w:rFonts w:ascii="Times New Roman"/>
          <w:b w:val="false"/>
          <w:i w:val="false"/>
          <w:color w:val="000000"/>
          <w:sz w:val="28"/>
        </w:rPr>
        <w:t>
      3) төмен тәуекел.</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осы Өлшемшарттардың </w:t>
      </w:r>
      <w:r>
        <w:rPr>
          <w:rFonts w:ascii="Times New Roman"/>
          <w:b w:val="false"/>
          <w:i w:val="false"/>
          <w:color w:val="000000"/>
          <w:sz w:val="28"/>
        </w:rPr>
        <w:t>3-тарауына</w:t>
      </w:r>
      <w:r>
        <w:rPr>
          <w:rFonts w:ascii="Times New Roman"/>
          <w:b w:val="false"/>
          <w:i w:val="false"/>
          <w:color w:val="000000"/>
          <w:sz w:val="28"/>
        </w:rPr>
        <w:t xml:space="preserve"> сәйкес субъективті өлшемшарттар бойынша тәуекел дәрежесінің жалпы көрсеткіші 0-ден 100-ге дейінгі шәкіл бойынша есептеледі.</w:t>
      </w:r>
    </w:p>
    <w:bookmarkStart w:name="z43" w:id="31"/>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31"/>
    <w:bookmarkStart w:name="z44" w:id="32"/>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2"/>
    <w:bookmarkStart w:name="z45" w:id="33"/>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3"/>
    <w:bookmarkStart w:name="z46" w:id="34"/>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34"/>
    <w:p>
      <w:pPr>
        <w:spacing w:after="0"/>
        <w:ind w:left="0"/>
        <w:jc w:val="both"/>
      </w:pPr>
      <w:r>
        <w:rPr>
          <w:rFonts w:ascii="Times New Roman"/>
          <w:b w:val="false"/>
          <w:i w:val="false"/>
          <w:color w:val="000000"/>
          <w:sz w:val="28"/>
        </w:rPr>
        <w:t>
      Жоғары және орташа тәуекел дәрежесіне жатқызылған бақылау субъектілері (объектілері) үшін бақылау субъектісіне (объектісіне) бару арқылы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үшін жоспардан тыс тексеру жүргізіледі.</w:t>
      </w:r>
    </w:p>
    <w:bookmarkStart w:name="z47" w:id="35"/>
    <w:p>
      <w:pPr>
        <w:spacing w:after="0"/>
        <w:ind w:left="0"/>
        <w:jc w:val="both"/>
      </w:pPr>
      <w:r>
        <w:rPr>
          <w:rFonts w:ascii="Times New Roman"/>
          <w:b w:val="false"/>
          <w:i w:val="false"/>
          <w:color w:val="000000"/>
          <w:sz w:val="28"/>
        </w:rPr>
        <w:t>
      9. Бақылау субъектісіне (объектісіне) профилактикалық бақылау жүргізу үшін тәуекел дәрежесін бағалау критерийлері объективті және субъективті критерийлерді айқындау арқылы қалыптастырылады.</w:t>
      </w:r>
    </w:p>
    <w:bookmarkEnd w:id="35"/>
    <w:bookmarkStart w:name="z48" w:id="36"/>
    <w:p>
      <w:pPr>
        <w:spacing w:after="0"/>
        <w:ind w:left="0"/>
        <w:jc w:val="both"/>
      </w:pPr>
      <w:r>
        <w:rPr>
          <w:rFonts w:ascii="Times New Roman"/>
          <w:b w:val="false"/>
          <w:i w:val="false"/>
          <w:color w:val="000000"/>
          <w:sz w:val="28"/>
        </w:rPr>
        <w:t>
      10.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36"/>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Start w:name="z49" w:id="37"/>
    <w:p>
      <w:pPr>
        <w:spacing w:after="0"/>
        <w:ind w:left="0"/>
        <w:jc w:val="left"/>
      </w:pPr>
      <w:r>
        <w:rPr>
          <w:rFonts w:ascii="Times New Roman"/>
          <w:b/>
          <w:i w:val="false"/>
          <w:color w:val="000000"/>
        </w:rPr>
        <w:t xml:space="preserve"> 1-Параграф. Объективті өлшемшарттар</w:t>
      </w:r>
    </w:p>
    <w:bookmarkEnd w:id="37"/>
    <w:bookmarkStart w:name="z50" w:id="38"/>
    <w:p>
      <w:pPr>
        <w:spacing w:after="0"/>
        <w:ind w:left="0"/>
        <w:jc w:val="both"/>
      </w:pPr>
      <w:r>
        <w:rPr>
          <w:rFonts w:ascii="Times New Roman"/>
          <w:b w:val="false"/>
          <w:i w:val="false"/>
          <w:color w:val="000000"/>
          <w:sz w:val="28"/>
        </w:rPr>
        <w:t>
      11. Лотерея және лотерея қызметі саласында тәуекелдің жоғары дәрежесіне жеке тұлғалар мен заңды тұлғалардың заңды мүдделеріне, мемлекеттің мүліктік мүдделеріне зиян келтіру ықтималдығы тәуекелдері жатады.</w:t>
      </w:r>
    </w:p>
    <w:bookmarkEnd w:id="38"/>
    <w:p>
      <w:pPr>
        <w:spacing w:after="0"/>
        <w:ind w:left="0"/>
        <w:jc w:val="both"/>
      </w:pPr>
      <w:r>
        <w:rPr>
          <w:rFonts w:ascii="Times New Roman"/>
          <w:b w:val="false"/>
          <w:i w:val="false"/>
          <w:color w:val="000000"/>
          <w:sz w:val="28"/>
        </w:rPr>
        <w:t>
      Объективті өлшемшарттар бойынша тәуекелдің жоғары дәрежесіне лотерея және лотерея қызметі саласындағы қызметті жүзеге асыратын бақылау субъектісі (объектісі) жатады.</w:t>
      </w:r>
    </w:p>
    <w:bookmarkStart w:name="z51" w:id="39"/>
    <w:p>
      <w:pPr>
        <w:spacing w:after="0"/>
        <w:ind w:left="0"/>
        <w:jc w:val="left"/>
      </w:pPr>
      <w:r>
        <w:rPr>
          <w:rFonts w:ascii="Times New Roman"/>
          <w:b/>
          <w:i w:val="false"/>
          <w:color w:val="000000"/>
        </w:rPr>
        <w:t xml:space="preserve"> 2-Параграф. Субъективті өлшемшарттар</w:t>
      </w:r>
    </w:p>
    <w:bookmarkEnd w:id="39"/>
    <w:bookmarkStart w:name="z52" w:id="40"/>
    <w:p>
      <w:pPr>
        <w:spacing w:after="0"/>
        <w:ind w:left="0"/>
        <w:jc w:val="both"/>
      </w:pPr>
      <w:r>
        <w:rPr>
          <w:rFonts w:ascii="Times New Roman"/>
          <w:b w:val="false"/>
          <w:i w:val="false"/>
          <w:color w:val="000000"/>
          <w:sz w:val="28"/>
        </w:rPr>
        <w:t>
      12. Субъективті өлшемшарттарды айқындау мынадай кезеңдерді қолдана отырып жүзеге асырылады:</w:t>
      </w:r>
    </w:p>
    <w:bookmarkEnd w:id="40"/>
    <w:bookmarkStart w:name="z53" w:id="41"/>
    <w:p>
      <w:pPr>
        <w:spacing w:after="0"/>
        <w:ind w:left="0"/>
        <w:jc w:val="both"/>
      </w:pPr>
      <w:r>
        <w:rPr>
          <w:rFonts w:ascii="Times New Roman"/>
          <w:b w:val="false"/>
          <w:i w:val="false"/>
          <w:color w:val="000000"/>
          <w:sz w:val="28"/>
        </w:rPr>
        <w:t>
      1) лотерея және лотерея қызметі саласындағы заңнама талаптарының бұзылуы туралы деректер базасын қалыптастыру және ақпарат жинау;</w:t>
      </w:r>
    </w:p>
    <w:bookmarkEnd w:id="41"/>
    <w:bookmarkStart w:name="z54" w:id="42"/>
    <w:p>
      <w:pPr>
        <w:spacing w:after="0"/>
        <w:ind w:left="0"/>
        <w:jc w:val="both"/>
      </w:pPr>
      <w:r>
        <w:rPr>
          <w:rFonts w:ascii="Times New Roman"/>
          <w:b w:val="false"/>
          <w:i w:val="false"/>
          <w:color w:val="000000"/>
          <w:sz w:val="28"/>
        </w:rPr>
        <w:t>
      2) ақпаратты талдау және тәуекелдерді бағалау.</w:t>
      </w:r>
    </w:p>
    <w:bookmarkEnd w:id="42"/>
    <w:bookmarkStart w:name="z55" w:id="43"/>
    <w:p>
      <w:pPr>
        <w:spacing w:after="0"/>
        <w:ind w:left="0"/>
        <w:jc w:val="both"/>
      </w:pPr>
      <w:r>
        <w:rPr>
          <w:rFonts w:ascii="Times New Roman"/>
          <w:b w:val="false"/>
          <w:i w:val="false"/>
          <w:color w:val="000000"/>
          <w:sz w:val="28"/>
        </w:rPr>
        <w:t>
      13. Деректер базасын қалыптастыру және ақпарат жинау Қазақстан Республикасының заңнамасын бұзатын бақылау субъектісін анықтау үшін қажет.</w:t>
      </w:r>
    </w:p>
    <w:bookmarkEnd w:id="43"/>
    <w:bookmarkStart w:name="z56" w:id="44"/>
    <w:p>
      <w:pPr>
        <w:spacing w:after="0"/>
        <w:ind w:left="0"/>
        <w:jc w:val="both"/>
      </w:pPr>
      <w:r>
        <w:rPr>
          <w:rFonts w:ascii="Times New Roman"/>
          <w:b w:val="false"/>
          <w:i w:val="false"/>
          <w:color w:val="000000"/>
          <w:sz w:val="28"/>
        </w:rPr>
        <w:t>
      Субъективті өлшемшарттардың тәуекел дәрежесін бағалау үшін мынадай ақпарат көздері пайдаланылады:</w:t>
      </w:r>
    </w:p>
    <w:bookmarkEnd w:id="44"/>
    <w:bookmarkStart w:name="z57" w:id="45"/>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bookmarkEnd w:id="45"/>
    <w:bookmarkStart w:name="z58" w:id="46"/>
    <w:p>
      <w:pPr>
        <w:spacing w:after="0"/>
        <w:ind w:left="0"/>
        <w:jc w:val="both"/>
      </w:pPr>
      <w:r>
        <w:rPr>
          <w:rFonts w:ascii="Times New Roman"/>
          <w:b w:val="false"/>
          <w:i w:val="false"/>
          <w:color w:val="000000"/>
          <w:sz w:val="28"/>
        </w:rPr>
        <w:t>
      2) бақылау субъектіге (объектіге) алдыңғы жоспардан тыс тексерулер мен бару арқылы профилактикалық бақылаудың нәтижелері;</w:t>
      </w:r>
    </w:p>
    <w:bookmarkEnd w:id="46"/>
    <w:bookmarkStart w:name="z59" w:id="47"/>
    <w:p>
      <w:pPr>
        <w:spacing w:after="0"/>
        <w:ind w:left="0"/>
        <w:jc w:val="both"/>
      </w:pPr>
      <w:r>
        <w:rPr>
          <w:rFonts w:ascii="Times New Roman"/>
          <w:b w:val="false"/>
          <w:i w:val="false"/>
          <w:color w:val="000000"/>
          <w:sz w:val="28"/>
        </w:rPr>
        <w:t>
      3) расталған шағымдар мен өтініштердің болуы және саны;</w:t>
      </w:r>
    </w:p>
    <w:bookmarkEnd w:id="47"/>
    <w:bookmarkStart w:name="z60" w:id="48"/>
    <w:p>
      <w:pPr>
        <w:spacing w:after="0"/>
        <w:ind w:left="0"/>
        <w:jc w:val="both"/>
      </w:pPr>
      <w:r>
        <w:rPr>
          <w:rFonts w:ascii="Times New Roman"/>
          <w:b w:val="false"/>
          <w:i w:val="false"/>
          <w:color w:val="000000"/>
          <w:sz w:val="28"/>
        </w:rPr>
        <w:t>
      4) мемлекеттік органдардың, бұқаралық ақпарат құралдарының ресми интернет-ресурстарын талдау;</w:t>
      </w:r>
    </w:p>
    <w:bookmarkEnd w:id="48"/>
    <w:bookmarkStart w:name="z61" w:id="49"/>
    <w:p>
      <w:pPr>
        <w:spacing w:after="0"/>
        <w:ind w:left="0"/>
        <w:jc w:val="both"/>
      </w:pPr>
      <w:r>
        <w:rPr>
          <w:rFonts w:ascii="Times New Roman"/>
          <w:b w:val="false"/>
          <w:i w:val="false"/>
          <w:color w:val="000000"/>
          <w:sz w:val="28"/>
        </w:rPr>
        <w:t>
      5) мемлекеттік органдар мен ұйымдар ұсынатын мәліметтерді талдау нәтижелері.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Бақылау субъектілерінің тәуекел дәрежесін бағалау және оларды тәуекел дәрежесінің өрескел, елеулі және елеусіз тобына жатқызу осы Өлшемшарттардың </w:t>
      </w:r>
      <w:r>
        <w:rPr>
          <w:rFonts w:ascii="Times New Roman"/>
          <w:b w:val="false"/>
          <w:i w:val="false"/>
          <w:color w:val="000000"/>
          <w:sz w:val="28"/>
        </w:rPr>
        <w:t>қосымшаға</w:t>
      </w:r>
      <w:r>
        <w:rPr>
          <w:rFonts w:ascii="Times New Roman"/>
          <w:b w:val="false"/>
          <w:i w:val="false"/>
          <w:color w:val="000000"/>
          <w:sz w:val="28"/>
        </w:rPr>
        <w:t xml:space="preserve"> сәйкес жүзеге асырылады.</w:t>
      </w:r>
    </w:p>
    <w:bookmarkStart w:name="z63" w:id="50"/>
    <w:p>
      <w:pPr>
        <w:spacing w:after="0"/>
        <w:ind w:left="0"/>
        <w:jc w:val="both"/>
      </w:pPr>
      <w:r>
        <w:rPr>
          <w:rFonts w:ascii="Times New Roman"/>
          <w:b w:val="false"/>
          <w:i w:val="false"/>
          <w:color w:val="000000"/>
          <w:sz w:val="28"/>
        </w:rPr>
        <w:t>
      15.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профилактикалық бақылауды шоғырландыруға мүмкіндік береді.</w:t>
      </w:r>
    </w:p>
    <w:bookmarkEnd w:id="50"/>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субъектісіне қатысты оны мемлекеттік бақылаудың кезекті кезеңіне кестелер мен тізімдерді қалыптастыру кезінде енгізуге жол берілмейді.</w:t>
      </w:r>
    </w:p>
    <w:bookmarkStart w:name="z64" w:id="51"/>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w:t>
      </w:r>
    </w:p>
    <w:bookmarkEnd w:id="51"/>
    <w:p>
      <w:pPr>
        <w:spacing w:after="0"/>
        <w:ind w:left="0"/>
        <w:jc w:val="left"/>
      </w:pPr>
    </w:p>
    <w:p>
      <w:pPr>
        <w:spacing w:after="0"/>
        <w:ind w:left="0"/>
        <w:jc w:val="both"/>
      </w:pPr>
      <w:r>
        <w:rPr>
          <w:rFonts w:ascii="Times New Roman"/>
          <w:b w:val="false"/>
          <w:i w:val="false"/>
          <w:color w:val="000000"/>
          <w:sz w:val="28"/>
        </w:rPr>
        <w:t xml:space="preserve">
      16. Осы Өлшемшарттардың </w:t>
      </w:r>
      <w:r>
        <w:rPr>
          <w:rFonts w:ascii="Times New Roman"/>
          <w:b w:val="false"/>
          <w:i w:val="false"/>
          <w:color w:val="000000"/>
          <w:sz w:val="28"/>
        </w:rPr>
        <w:t>7-тармағына</w:t>
      </w:r>
      <w:r>
        <w:rPr>
          <w:rFonts w:ascii="Times New Roman"/>
          <w:b w:val="false"/>
          <w:i w:val="false"/>
          <w:color w:val="000000"/>
          <w:sz w:val="28"/>
        </w:rPr>
        <w:t xml:space="preserve"> сәйкес бақылау субъектісін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Бір өрескел бұзушылық анықталған кезде бақылау субъектісіне тәуекел дәрежесінің 100 көрсеткіші теңестіріледі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xml:space="preserve">
      Жалпы көрсеткіштің алынған мәні кәсіпкерлік субъектісін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сәйкес белгілі бір тәуекел дәрежесіне жатқызуға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лотереялар және лотерея</w:t>
            </w:r>
            <w:r>
              <w:br/>
            </w:r>
            <w:r>
              <w:rPr>
                <w:rFonts w:ascii="Times New Roman"/>
                <w:b w:val="false"/>
                <w:i w:val="false"/>
                <w:color w:val="000000"/>
                <w:sz w:val="20"/>
              </w:rPr>
              <w:t>қызметі туралы заңнамасының</w:t>
            </w:r>
            <w:r>
              <w:br/>
            </w:r>
            <w:r>
              <w:rPr>
                <w:rFonts w:ascii="Times New Roman"/>
                <w:b w:val="false"/>
                <w:i w:val="false"/>
                <w:color w:val="000000"/>
                <w:sz w:val="20"/>
              </w:rPr>
              <w:t>сақталуына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bookmarkStart w:name="z67" w:id="52"/>
    <w:p>
      <w:pPr>
        <w:spacing w:after="0"/>
        <w:ind w:left="0"/>
        <w:jc w:val="left"/>
      </w:pPr>
      <w:r>
        <w:rPr>
          <w:rFonts w:ascii="Times New Roman"/>
          <w:b/>
          <w:i w:val="false"/>
          <w:color w:val="000000"/>
        </w:rPr>
        <w:t xml:space="preserve"> Тәуекел дәрежесін бағалаудың субъективті өлшемшарттары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субъектісі ұсынатын есептілік пен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таратылған (өткізілген) лотерея билеттері, түбіртектер немесе өзге де құжаттар, өткізілген лотерея билеттерінен, түбіртектерден немесе өзге де құжаттардан түскен түсім, төленген ұтыстар туралы ақпаратты жинауды, қалыптастыруды, сақтауды және есепке алуды қамтамасыз ету жөніндегі талаптарды сақтамауы және оны айына кемінде бір рет лотерея ақпаратын өңдеу орталығы арқылы лотерея есептілігі орталығына табыс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субъектіге алдыңғы жоспардан тыс тексерулер мен бару арқылы профилактикалық бақылаудың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тапсырма шартының талаптарында тек қана он сегіз жасқа толған жеке тұлғалар арасында лотерея билеттерін, түбіртектерді немесе өзге де құжаттарды тарату (өткізу) бойынша лотерея таратушының (агенттің) міндеттемесінің болуы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тапсырма шартының талаптарында лотерея таратушының (агенттің) лотереяға қатысушыларға ұтыстарды төлеу жөніндегі міндеттемесінің болуы жөніндегі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лотереяны өткізу шарттарын және лотереяға қатысушы сатып алған лотерея билетінің, түбіртектің немесе өзге де құжаттың негізінде ұтысты төлеу жөніндегі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ұтқан лотерея қатысушысы туралы мәліметтерді, егер оның жазбаша келісімі алынбаса, жария етпеу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Қазақстан Республикасының лотереялар және лотерея қызметі туралы заңнамасында көзделген тәртіппен ұйымдастырылатын және өткізілетін лотереялардан басқа, Қазақстан Республикасында өзге де лотереяларды ұйымдастыруға және өткізуге тыйым салу жөніндегі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лотереялар түрінде құмар ойындарды және (немесе) бәс тігуді өткізуге жол бермеу жөніндегі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өткізуден басқа кәсіпкерлік қызметтің өзге түрлерімен айналысуға тыйым салу туралы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лотереяны таратушымен (агентпен), атап айтқанда жеке кәсіпкермен немесе лотерея билеттерін, түбіртектерді немесе өзге де құжаттарды сыйақы үшін таратуды (өткізуді), ұтыс лотерея билеттерін, түбіртектерді немесе өзге де құжаттарды тексеруді, сондай-ақ лотерея операторының атынан және оның есебінен ұтыстарды төлеуді жүзеге асыратын заңды тұлғамен тапсырма шартын жасасу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терминалдары модельдері бақылау-касса машиналарының мемлекеттік тізіліміне енгізілген бақылау-касса машиналарымен жарақтандыру жөніндегі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Қазақстан Республикасының аумағында лотерея ақпаратын өңдеу орталығының орналасуы бойынша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ақпаратын өңдеу орталығына және лотерея есептілігі орталығына ақпаратты жоғалтудан, ұрлаудан, бұрмалаудан, қолдан жасаудан, рұқсат етілмеген қол жеткізуден және оны тарату, бұғаттау, жою, түрлендіру, көшіру жөніндегі іс-әрекеттерден және өзге де заңсыз іс-әрекеттерден қорғауды қамтамасыз ету жөніндегі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жабдығына қойылатын талаптарды сақтамауы:</w:t>
            </w:r>
          </w:p>
          <w:p>
            <w:pPr>
              <w:spacing w:after="20"/>
              <w:ind w:left="20"/>
              <w:jc w:val="both"/>
            </w:pPr>
            <w:r>
              <w:rPr>
                <w:rFonts w:ascii="Times New Roman"/>
                <w:b w:val="false"/>
                <w:i w:val="false"/>
                <w:color w:val="000000"/>
                <w:sz w:val="20"/>
              </w:rPr>
              <w:t>
техникалық сипаттамалар жүлде қорын ұтыс ойыны кезінде ұтыстарды бөлудің кездейсоқтығын қамтамасыз етуі тиіс;</w:t>
            </w:r>
          </w:p>
          <w:p>
            <w:pPr>
              <w:spacing w:after="20"/>
              <w:ind w:left="20"/>
              <w:jc w:val="both"/>
            </w:pPr>
            <w:r>
              <w:rPr>
                <w:rFonts w:ascii="Times New Roman"/>
                <w:b w:val="false"/>
                <w:i w:val="false"/>
                <w:color w:val="000000"/>
                <w:sz w:val="20"/>
              </w:rPr>
              <w:t>
жүлде қорының ұтыс ойынын өткізу нәтижесін осындай ұтыс ойыны басталғанға дейін алдын ала анықтауға мүмкіндік беретін жасырын мүмкіндіктер және (немесе) рәсімдер мен алгоритмдер болмауға тиіс;</w:t>
            </w:r>
          </w:p>
          <w:p>
            <w:pPr>
              <w:spacing w:after="20"/>
              <w:ind w:left="20"/>
              <w:jc w:val="both"/>
            </w:pPr>
            <w:r>
              <w:rPr>
                <w:rFonts w:ascii="Times New Roman"/>
                <w:b w:val="false"/>
                <w:i w:val="false"/>
                <w:color w:val="000000"/>
                <w:sz w:val="20"/>
              </w:rPr>
              <w:t>
байланыс желісі бойынша лотерея терминалдарымен қосылмауға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мынадай мәліметтерді қамтитын лотереяны өткізу шарттарын әзірлеу және бекіту жөніндегі талаптарды сақтамауы:</w:t>
            </w:r>
          </w:p>
          <w:p>
            <w:pPr>
              <w:spacing w:after="20"/>
              <w:ind w:left="20"/>
              <w:jc w:val="both"/>
            </w:pPr>
            <w:r>
              <w:rPr>
                <w:rFonts w:ascii="Times New Roman"/>
                <w:b w:val="false"/>
                <w:i w:val="false"/>
                <w:color w:val="000000"/>
                <w:sz w:val="20"/>
              </w:rPr>
              <w:t>
1) лотереяның атауы;</w:t>
            </w:r>
          </w:p>
          <w:p>
            <w:pPr>
              <w:spacing w:after="20"/>
              <w:ind w:left="20"/>
              <w:jc w:val="both"/>
            </w:pPr>
            <w:r>
              <w:rPr>
                <w:rFonts w:ascii="Times New Roman"/>
                <w:b w:val="false"/>
                <w:i w:val="false"/>
                <w:color w:val="000000"/>
                <w:sz w:val="20"/>
              </w:rPr>
              <w:t>
2) лотерея өткізу тәсілінің, аумағының және технологиясының, сондай-ақ жүлде қорын қалыптастыру тәсілінің көрсету;</w:t>
            </w:r>
          </w:p>
          <w:p>
            <w:pPr>
              <w:spacing w:after="20"/>
              <w:ind w:left="20"/>
              <w:jc w:val="both"/>
            </w:pPr>
            <w:r>
              <w:rPr>
                <w:rFonts w:ascii="Times New Roman"/>
                <w:b w:val="false"/>
                <w:i w:val="false"/>
                <w:color w:val="000000"/>
                <w:sz w:val="20"/>
              </w:rPr>
              <w:t>
3) орналасқан жері, банктік деректемелері, бизнес сәйкестендіру нөмірі көрсетілген лотерея операторының атауы;</w:t>
            </w:r>
          </w:p>
          <w:p>
            <w:pPr>
              <w:spacing w:after="20"/>
              <w:ind w:left="20"/>
              <w:jc w:val="both"/>
            </w:pPr>
            <w:r>
              <w:rPr>
                <w:rFonts w:ascii="Times New Roman"/>
                <w:b w:val="false"/>
                <w:i w:val="false"/>
                <w:color w:val="000000"/>
                <w:sz w:val="20"/>
              </w:rPr>
              <w:t>
4) лотереяны өткізілетін мерзімдері;</w:t>
            </w:r>
          </w:p>
          <w:p>
            <w:pPr>
              <w:spacing w:after="20"/>
              <w:ind w:left="20"/>
              <w:jc w:val="both"/>
            </w:pPr>
            <w:r>
              <w:rPr>
                <w:rFonts w:ascii="Times New Roman"/>
                <w:b w:val="false"/>
                <w:i w:val="false"/>
                <w:color w:val="000000"/>
                <w:sz w:val="20"/>
              </w:rPr>
              <w:t>
5) лотерея тұжырымдамасының сипаттамасы;</w:t>
            </w:r>
          </w:p>
          <w:p>
            <w:pPr>
              <w:spacing w:after="20"/>
              <w:ind w:left="20"/>
              <w:jc w:val="both"/>
            </w:pPr>
            <w:r>
              <w:rPr>
                <w:rFonts w:ascii="Times New Roman"/>
                <w:b w:val="false"/>
                <w:i w:val="false"/>
                <w:color w:val="000000"/>
                <w:sz w:val="20"/>
              </w:rPr>
              <w:t>
6) лотереяның ұйымдастырушылық-технологиялық сипаттамасы;</w:t>
            </w:r>
          </w:p>
          <w:p>
            <w:pPr>
              <w:spacing w:after="20"/>
              <w:ind w:left="20"/>
              <w:jc w:val="both"/>
            </w:pPr>
            <w:r>
              <w:rPr>
                <w:rFonts w:ascii="Times New Roman"/>
                <w:b w:val="false"/>
                <w:i w:val="false"/>
                <w:color w:val="000000"/>
                <w:sz w:val="20"/>
              </w:rPr>
              <w:t>
7) лотереяға қатысушылардың құқықтары мен міндеттері;</w:t>
            </w:r>
          </w:p>
          <w:p>
            <w:pPr>
              <w:spacing w:after="20"/>
              <w:ind w:left="20"/>
              <w:jc w:val="both"/>
            </w:pPr>
            <w:r>
              <w:rPr>
                <w:rFonts w:ascii="Times New Roman"/>
                <w:b w:val="false"/>
                <w:i w:val="false"/>
                <w:color w:val="000000"/>
                <w:sz w:val="20"/>
              </w:rPr>
              <w:t>
8) ұтты деп танылған лотереяға қатысушыға ұтысты төлеу тәртібі мен мерзімдерін, сондай-ақ ұтыс шыққан лотерея билеттеріне, түбіртектерге немесе өзге де құжаттарға сараптама жүргізу мерзімдері</w:t>
            </w:r>
          </w:p>
          <w:p>
            <w:pPr>
              <w:spacing w:after="20"/>
              <w:ind w:left="20"/>
              <w:jc w:val="both"/>
            </w:pPr>
            <w:r>
              <w:rPr>
                <w:rFonts w:ascii="Times New Roman"/>
                <w:b w:val="false"/>
                <w:i w:val="false"/>
                <w:color w:val="000000"/>
                <w:sz w:val="20"/>
              </w:rPr>
              <w:t>
9) лотереяға қатысушыларды лотереяға қатысу қағидалары және жүлде қорын ұтысқа салу нәтижелері туралы хабардар ету тәртібі;</w:t>
            </w:r>
          </w:p>
          <w:p>
            <w:pPr>
              <w:spacing w:after="20"/>
              <w:ind w:left="20"/>
              <w:jc w:val="both"/>
            </w:pPr>
            <w:r>
              <w:rPr>
                <w:rFonts w:ascii="Times New Roman"/>
                <w:b w:val="false"/>
                <w:i w:val="false"/>
                <w:color w:val="000000"/>
                <w:sz w:val="20"/>
              </w:rPr>
              <w:t>
10) лотерея билеттерін, түбіртіктерді немесе өзге де құжаттарды тарату (өткізу) тәртібі;</w:t>
            </w:r>
          </w:p>
          <w:p>
            <w:pPr>
              <w:spacing w:after="20"/>
              <w:ind w:left="20"/>
              <w:jc w:val="both"/>
            </w:pPr>
            <w:r>
              <w:rPr>
                <w:rFonts w:ascii="Times New Roman"/>
                <w:b w:val="false"/>
                <w:i w:val="false"/>
                <w:color w:val="000000"/>
                <w:sz w:val="20"/>
              </w:rPr>
              <w:t>
11) лотерея билетінің, түбіртектің немесе өзге де құжаттың бағасы;</w:t>
            </w:r>
          </w:p>
          <w:p>
            <w:pPr>
              <w:spacing w:after="20"/>
              <w:ind w:left="20"/>
              <w:jc w:val="both"/>
            </w:pPr>
            <w:r>
              <w:rPr>
                <w:rFonts w:ascii="Times New Roman"/>
                <w:b w:val="false"/>
                <w:i w:val="false"/>
                <w:color w:val="000000"/>
                <w:sz w:val="20"/>
              </w:rPr>
              <w:t>
12) ұтыстың мөлшері мен нысанын (ақшалай немесе заттай);</w:t>
            </w:r>
          </w:p>
          <w:p>
            <w:pPr>
              <w:spacing w:after="20"/>
              <w:ind w:left="20"/>
              <w:jc w:val="both"/>
            </w:pPr>
            <w:r>
              <w:rPr>
                <w:rFonts w:ascii="Times New Roman"/>
                <w:b w:val="false"/>
                <w:i w:val="false"/>
                <w:color w:val="000000"/>
                <w:sz w:val="20"/>
              </w:rPr>
              <w:t>
13) жүлде қорының жоспарланып отырған мөлшері;</w:t>
            </w:r>
          </w:p>
          <w:p>
            <w:pPr>
              <w:spacing w:after="20"/>
              <w:ind w:left="20"/>
              <w:jc w:val="both"/>
            </w:pPr>
            <w:r>
              <w:rPr>
                <w:rFonts w:ascii="Times New Roman"/>
                <w:b w:val="false"/>
                <w:i w:val="false"/>
                <w:color w:val="000000"/>
                <w:sz w:val="20"/>
              </w:rPr>
              <w:t>
14) жүлде қорының ұтыс ойынын өткізу тәртібін, ұтыстарды айқындау алгоритмін, бас жүлдені (бар болса) қалыптастыру мен ұтысқа салу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операторы бекіткен лотереяны өткізу шарттарының түпнұсқа данасын Лотерея және лотерея қызметі саласындағы уәкілетті органға оны өткізу басталғанға дейін күнтізбелік он күннен кешіктірмей жіберу және лотереяны өткізу шарттарын оны өткізу басталғанға дейін күнтізбелік бір күннен кешіктірмей өзінің интернет-ресурсында орналастыру бойынша міндеттемені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сатылған лотерея билеттерінен, түбіртектерден немесе нақты лотереяның өзге де құжаттарынан түскен түсімнің кемінде елу пайызы мөлшерінде не өз қаражаты есебінен жүлде қорын қалыптастыруды қамтамасыз ету жөніндегі міндеттемелерді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тираждық лотереяның жүлде қорын оны ойнату басталғанға дейін қалыптастыру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лотереяға қатысушылар алдындағы ұтыстарды төлеу жөніндегі, сондай-ақ жүлде қорының қаражатын ұтыстарды төлеуден өзгеше пайдалану жөніндегі міндеттемелерді қоспағанда, жүлде қорына қандай да бір міндеттемелермен ауыртпалық салуға тыйым салу жөніндегі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жүлде қорын (бас жүлдені) бірнеше тираж бойына жинақтап қалыптастыру қағидаты өткізу шарттарында пайдаланылатын тираждық лотереяны қоспағанда, тираждық лотереяның жүлде қоры оған қатысы бар тираж шеңберінде толығымен ұтысқа салу бойынша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өткізу шарттарына сәйкес ұтқан деп танылған лотереяға қатысушыға лотерея өткізу шарттарына сәйкес ұтыстарды мөлшері мен нысанында (ақшалай немесе заттай) төлеу жөніндегі талапты сақтамауы (ұтыстарды төлеу тиісті таралым өткізілгеннен кейін отыз күн мерзімнен кешіктірілмей басталуы және нәтижелері жарияланған сәттен бастап кемінде алты ай жалғасуы тиіс (жүлде қорының ұтыс ойыны)).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өткізу шарттарында белгіленген мерзімде талап етілмеген ұтыстарды тиісті тираждың (жүлде қорының ұтыс ойынының) нәтижелері жарияланған кезден бастап үш жыл ішінде сақтау жөніндегі талапты сақтамауы, содан кейін олар салық емес төлем түрінде бюджет кірісіне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нысанды қоспағанда, лотерея билеттеріндегі, түбіртектердегі немесе өзге де құжаттардағы төмендегідей міндетті ақпараттың мазмұны бойынша талапты сақтамау:</w:t>
            </w:r>
          </w:p>
          <w:p>
            <w:pPr>
              <w:spacing w:after="20"/>
              <w:ind w:left="20"/>
              <w:jc w:val="both"/>
            </w:pPr>
            <w:r>
              <w:rPr>
                <w:rFonts w:ascii="Times New Roman"/>
                <w:b w:val="false"/>
                <w:i w:val="false"/>
                <w:color w:val="000000"/>
                <w:sz w:val="20"/>
              </w:rPr>
              <w:t>
1) лотереяның атауы;</w:t>
            </w:r>
          </w:p>
          <w:p>
            <w:pPr>
              <w:spacing w:after="20"/>
              <w:ind w:left="20"/>
              <w:jc w:val="both"/>
            </w:pPr>
            <w:r>
              <w:rPr>
                <w:rFonts w:ascii="Times New Roman"/>
                <w:b w:val="false"/>
                <w:i w:val="false"/>
                <w:color w:val="000000"/>
                <w:sz w:val="20"/>
              </w:rPr>
              <w:t>
2) лотерея операторының атауы, орналасқан жері, телефон нөмірлері және интернет-ресурсы;</w:t>
            </w:r>
          </w:p>
          <w:p>
            <w:pPr>
              <w:spacing w:after="20"/>
              <w:ind w:left="20"/>
              <w:jc w:val="both"/>
            </w:pPr>
            <w:r>
              <w:rPr>
                <w:rFonts w:ascii="Times New Roman"/>
                <w:b w:val="false"/>
                <w:i w:val="false"/>
                <w:color w:val="000000"/>
                <w:sz w:val="20"/>
              </w:rPr>
              <w:t>
3) тираждың нөмірі немесе атауы (тираждық лотереялар үшін);</w:t>
            </w:r>
          </w:p>
          <w:p>
            <w:pPr>
              <w:spacing w:after="20"/>
              <w:ind w:left="20"/>
              <w:jc w:val="both"/>
            </w:pPr>
            <w:r>
              <w:rPr>
                <w:rFonts w:ascii="Times New Roman"/>
                <w:b w:val="false"/>
                <w:i w:val="false"/>
                <w:color w:val="000000"/>
                <w:sz w:val="20"/>
              </w:rPr>
              <w:t>
4) лотерея билетінің, түбіртектің немесе өзге де құжаттың нөмірі;</w:t>
            </w:r>
          </w:p>
          <w:p>
            <w:pPr>
              <w:spacing w:after="20"/>
              <w:ind w:left="20"/>
              <w:jc w:val="both"/>
            </w:pPr>
            <w:r>
              <w:rPr>
                <w:rFonts w:ascii="Times New Roman"/>
                <w:b w:val="false"/>
                <w:i w:val="false"/>
                <w:color w:val="000000"/>
                <w:sz w:val="20"/>
              </w:rPr>
              <w:t>
5) лотерея билетінің, түбіртектің немесе өзге де құжаттың бағасы;</w:t>
            </w:r>
          </w:p>
          <w:p>
            <w:pPr>
              <w:spacing w:after="20"/>
              <w:ind w:left="20"/>
              <w:jc w:val="both"/>
            </w:pPr>
            <w:r>
              <w:rPr>
                <w:rFonts w:ascii="Times New Roman"/>
                <w:b w:val="false"/>
                <w:i w:val="false"/>
                <w:color w:val="000000"/>
                <w:sz w:val="20"/>
              </w:rPr>
              <w:t>
6) жүлде қорының ұтыс ойынын өткізу күні мен орны (тираждық лотерея үшін);</w:t>
            </w:r>
          </w:p>
          <w:p>
            <w:pPr>
              <w:spacing w:after="20"/>
              <w:ind w:left="20"/>
              <w:jc w:val="both"/>
            </w:pPr>
            <w:r>
              <w:rPr>
                <w:rFonts w:ascii="Times New Roman"/>
                <w:b w:val="false"/>
                <w:i w:val="false"/>
                <w:color w:val="000000"/>
                <w:sz w:val="20"/>
              </w:rPr>
              <w:t>
7) ұтысты алу орны мен мерзімі туралы деректер;</w:t>
            </w:r>
          </w:p>
          <w:p>
            <w:pPr>
              <w:spacing w:after="20"/>
              <w:ind w:left="20"/>
              <w:jc w:val="both"/>
            </w:pPr>
            <w:r>
              <w:rPr>
                <w:rFonts w:ascii="Times New Roman"/>
                <w:b w:val="false"/>
                <w:i w:val="false"/>
                <w:color w:val="000000"/>
                <w:sz w:val="20"/>
              </w:rPr>
              <w:t>
8) жүлде қорының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билеттерінің, түбіртектердің немесе өзге де құжаттардың электрондық нысанына міндетті ақпараттың мазмұны бойынша талапты сақтамауы:</w:t>
            </w:r>
          </w:p>
          <w:p>
            <w:pPr>
              <w:spacing w:after="20"/>
              <w:ind w:left="20"/>
              <w:jc w:val="both"/>
            </w:pPr>
            <w:r>
              <w:rPr>
                <w:rFonts w:ascii="Times New Roman"/>
                <w:b w:val="false"/>
                <w:i w:val="false"/>
                <w:color w:val="000000"/>
                <w:sz w:val="20"/>
              </w:rPr>
              <w:t>
1) лотерея операторының атауы;</w:t>
            </w:r>
          </w:p>
          <w:p>
            <w:pPr>
              <w:spacing w:after="20"/>
              <w:ind w:left="20"/>
              <w:jc w:val="both"/>
            </w:pPr>
            <w:r>
              <w:rPr>
                <w:rFonts w:ascii="Times New Roman"/>
                <w:b w:val="false"/>
                <w:i w:val="false"/>
                <w:color w:val="000000"/>
                <w:sz w:val="20"/>
              </w:rPr>
              <w:t>
2) лотерея билетінің, түбіртектің немесе өзге де құжаттың нөмірі;</w:t>
            </w:r>
          </w:p>
          <w:p>
            <w:pPr>
              <w:spacing w:after="20"/>
              <w:ind w:left="20"/>
              <w:jc w:val="both"/>
            </w:pPr>
            <w:r>
              <w:rPr>
                <w:rFonts w:ascii="Times New Roman"/>
                <w:b w:val="false"/>
                <w:i w:val="false"/>
                <w:color w:val="000000"/>
                <w:sz w:val="20"/>
              </w:rPr>
              <w:t>
3) лотерея билетінің, түбіртектің немесе өзге де құжаттың бағасы;</w:t>
            </w:r>
          </w:p>
          <w:p>
            <w:pPr>
              <w:spacing w:after="20"/>
              <w:ind w:left="20"/>
              <w:jc w:val="both"/>
            </w:pPr>
            <w:r>
              <w:rPr>
                <w:rFonts w:ascii="Times New Roman"/>
                <w:b w:val="false"/>
                <w:i w:val="false"/>
                <w:color w:val="000000"/>
                <w:sz w:val="20"/>
              </w:rPr>
              <w:t>
4) лотерея операторының орналасқан жері, телефон нөмірлері және интернет-ресурсы, лотереяның атауы, тираждың нөмірі немесе атауы (тираждық лотереялар үшін), жүлде қорының ұтыс ойынын өткізу күні мен орны (тираждық лотерея үшін), ұтысты алу орны мен мерзімдері, жүлде қорының мөлшері туралы кеңейтілген ақпаратқа қол жеткізуге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билеттерінде, түбіртектерде немесе өзге де құжаттарда қамтылған ақпараттың орфография және түпнұсқалық аударма нормаларының талаптарын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тираждық лотереяның жүлде қорын кездейсоқ түрде ұтқан лотерея комбинациясын генерациялау жолымен лотерея жабдығымен ұтыс ойынын жүзеге асыру бойынша талапты сақтамауы, оны лотерея қатысушысы өз ұтысын анықтау мақсатында осы ұтыс ойынындағы лотерея комбинациясымен салыстыруға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тираждық лотереяның жүлде қорының ұтыс ойынын өткізу кезінде тираждық комиссия құру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ұтыстарды телеарнада тікелей эфирде немесе интернет желісінде айқындау рәсімін көрсете отырып, тираждық лотереяның жүлде қорының ұтыс ойынын трансляциялауды қамтамасыз ету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Қазақстан Республикасының бүкіл аумағында таратылатын мерзімді баспа басылымдарында үш жұмыс күні ішінде жүлде қорының және лотерея билеттері, түбіртектер немесе тираждық лотереяның өзге де құжаттары бойынша ұтыстардың әрбір ұтыс ойынының нәтижелерін жариялау жөніндегі талапты сақтамауы немесе лотерея операторының интернет-ресурсында көрсетілген ұтыс ойыны өткізілген кезден бастап он екі сағат ішінде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тираждық лотереяны өткізу тоқтатылған жағдайда, бас жүлдені қоса алғанда, жүлде қорын толық ойнату бойынша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дене шынықтыруды және спортты дамытуға бағытталған бюджеттен тыс ақша қаражатын бөлу жөніндегі қызметті жүзеге асыратын бірыңғай операторға өткізілген лотерея билеттерінен, түбіртектерден немесе өзге де құжаттардан, тіркелген лотерея мөлшерлемелерінен түскен түсім мен жүлде қоры арасындағы айырманың кемінде он пайызын спортты дамытуға тоқсан сайын бағыттау міндетін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қаржылық мониторингке жататын ақшамен және (немесе) мүлікпен жасалатын операциялар (шекті сомаға тең немесе одан асатын операция) туралы ақпаратты ұсынбау (жасалған күннен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қаржы мониторингі жөніндегі уәкілетті органға дереу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ішкі бақылауды ұйымдастыру бағдарламасы;</w:t>
            </w:r>
          </w:p>
          <w:p>
            <w:pPr>
              <w:spacing w:after="20"/>
              <w:ind w:left="20"/>
              <w:jc w:val="both"/>
            </w:pPr>
            <w:r>
              <w:rPr>
                <w:rFonts w:ascii="Times New Roman"/>
                <w:b w:val="false"/>
                <w:i w:val="false"/>
                <w:color w:val="000000"/>
                <w:sz w:val="20"/>
              </w:rPr>
              <w:t>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операциялар жүргізуден бас тарту және (немесе) іскерлік қатынастар орнатудан және қаржы мониторингі жөніндегі уәкілетті органға ақшамен және (немесе) мүлікпен операциялар жүргізуден бас тарту туралы ақпарат ұсынудан бас тарту жөніндегі міндеттерді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лотереялар және лотерея қызметі туралы заңнамасын бұзу фактілері бар мемлекеттік органдардан алынған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растайтын құжаттарды қоса бере отырып, құқықтары бұзылған жеке және заңды тұлғалардан бір шағымның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растайтын құжаттарды қоса бере отырып, құқықтары бұзылған жеке және заңды тұлғалардан 2 (екі) және одан да көп шағымдардың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xml:space="preserve">№ 136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22 желтоқсандағы</w:t>
            </w:r>
            <w:r>
              <w:br/>
            </w:r>
            <w:r>
              <w:rPr>
                <w:rFonts w:ascii="Times New Roman"/>
                <w:b w:val="false"/>
                <w:i w:val="false"/>
                <w:color w:val="000000"/>
                <w:sz w:val="20"/>
              </w:rPr>
              <w:t>№ 380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2016 жылғы 29 маусымдағы </w:t>
            </w:r>
            <w:r>
              <w:br/>
            </w:r>
            <w:r>
              <w:rPr>
                <w:rFonts w:ascii="Times New Roman"/>
                <w:b w:val="false"/>
                <w:i w:val="false"/>
                <w:color w:val="000000"/>
                <w:sz w:val="20"/>
              </w:rPr>
              <w:t xml:space="preserve">№ 195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министрінің </w:t>
            </w:r>
            <w:r>
              <w:br/>
            </w:r>
            <w:r>
              <w:rPr>
                <w:rFonts w:ascii="Times New Roman"/>
                <w:b w:val="false"/>
                <w:i w:val="false"/>
                <w:color w:val="000000"/>
                <w:sz w:val="20"/>
              </w:rPr>
              <w:t>2016 жылғы 18 шілдедегі</w:t>
            </w:r>
            <w:r>
              <w:br/>
            </w:r>
            <w:r>
              <w:rPr>
                <w:rFonts w:ascii="Times New Roman"/>
                <w:b w:val="false"/>
                <w:i w:val="false"/>
                <w:color w:val="000000"/>
                <w:sz w:val="20"/>
              </w:rPr>
              <w:t>№ 323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Лотерея операторына қатысты Қазақстан Республикасының лотереялар және лотерея қызметі туралы заңнамасын сақтаудың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және қадағалау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тапсырма шартының талаптарында тек қана он сегіз жасқа толған жеке тұлғалар арасында лотерея билеттерін, түбіртектерді немесе өзге де құжаттарды тарату (өткізу) бойынша лотерея таратушының (агенттің) міндеттемесінің болуы жөніндегі талапты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тапсырма шартының талаптарында лотерея таратушының (агенттің) лотереяға қатысушыларға ұтыстарды төлеу жөніндегі міндеттемесінің болуы жөніндегі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лотереяны өткізу шарттарын және лотереяға қатысушы сатып алған лотерея билетінің, түбіртектің немесе өзге де құжаттың негізінде ұтысты төлеу жөніндегі талаптарды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ұтқан лотерея қатысушысы туралы мәліметтерді, егер оның жазбаша келісімі алынбаса, жария етпеу жөніндегі талапты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Қазақстан Республикасының лотереялар және лотерея қызметі туралы заңнамасында көзделген тәртіппен ұйымдастырылатын және өткізілетін лотереялардан басқа, Қазақстан Республикасында өзге де лотереяларды ұйымдастыруға және өткізуге тыйым салу жөніндегі талаптарды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лотереялар түрінде құмар ойындарды және (немесе) бәс тігуді өткізуге жол бермеу жөніндегі талаптарды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өткізуден басқа кәсіпкерлік қызметтің өзге түрлерімен айналысуға тыйым салу туралы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лотереяны таратушымен (агентпен), атап айтқанда жеке кәсіпкермен немесе лотерея билеттерін, түбіртектерді немесе өзге де құжаттарды сыйақы үшін таратуды (өткізуді), ұтыс лотерея билеттерін, түбіртектерді немесе өзге де құжаттарды тексеруді, сондай-ақ лотерея операторының атынан және оның есебінен ұтыстарды төлеуді жүзеге асыратын заңды тұлғамен тапсырма шартын жасасу жөніндегі талапты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терминалдары модельдері бақылау-касса машиналарының мемлекеттік тізіліміне енгізілген бақылау-касса машиналарымен жарақтандыру жөніндегі талаптарды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Қазақстан Республикасының аумағында лотерея ақпаратын өңдеу орталығының орналасуы бойынша талаптарды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ақпаратын өңдеу орталығына және лотерея есептілігі орталығына ақпаратты жоғалтудан, ұрлаудан, бұрмалаудан, қолдан жасаудан, рұқсат етілмеген қол жеткізуден және оны тарату, бұғаттау, жою, түрлендіру, көшіру жөніндегі іс-әрекеттерден және өзге де заңсыз іс-әрекеттерден қорғауды қамтамасыз ету жөніндегі талаптарды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жабдығына қойылатын талаптарды сақтамауы:</w:t>
            </w:r>
          </w:p>
          <w:p>
            <w:pPr>
              <w:spacing w:after="20"/>
              <w:ind w:left="20"/>
              <w:jc w:val="both"/>
            </w:pPr>
            <w:r>
              <w:rPr>
                <w:rFonts w:ascii="Times New Roman"/>
                <w:b w:val="false"/>
                <w:i w:val="false"/>
                <w:color w:val="000000"/>
                <w:sz w:val="20"/>
              </w:rPr>
              <w:t>
техникалық сипаттамалар жүлде қорын ұтыс ойыны кезінде ұтыстарды бөлудің кездейсоқтығын қамтамасыз етуі тиіс;</w:t>
            </w:r>
          </w:p>
          <w:p>
            <w:pPr>
              <w:spacing w:after="20"/>
              <w:ind w:left="20"/>
              <w:jc w:val="both"/>
            </w:pPr>
            <w:r>
              <w:rPr>
                <w:rFonts w:ascii="Times New Roman"/>
                <w:b w:val="false"/>
                <w:i w:val="false"/>
                <w:color w:val="000000"/>
                <w:sz w:val="20"/>
              </w:rPr>
              <w:t>
жүлде қорының ұтыс ойынын өткізу нәтижесін осындай ұтыс ойыны басталғанға дейін алдын ала анықтауға мүмкіндік беретін жасырын мүмкіндіктер және (немесе) рәсімдер мен алгоритмдер болмауға тиіс;</w:t>
            </w:r>
          </w:p>
          <w:p>
            <w:pPr>
              <w:spacing w:after="20"/>
              <w:ind w:left="20"/>
              <w:jc w:val="both"/>
            </w:pPr>
            <w:r>
              <w:rPr>
                <w:rFonts w:ascii="Times New Roman"/>
                <w:b w:val="false"/>
                <w:i w:val="false"/>
                <w:color w:val="000000"/>
                <w:sz w:val="20"/>
              </w:rPr>
              <w:t>
байланыс желісі бойынша лотерея терминалдарымен қосылмауға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мынадай мәліметтерді қамтитын лотереяны өткізу шарттарын әзірлеу және бекіту жөніндегі талаптарды сақтамауы:</w:t>
            </w:r>
          </w:p>
          <w:p>
            <w:pPr>
              <w:spacing w:after="20"/>
              <w:ind w:left="20"/>
              <w:jc w:val="both"/>
            </w:pPr>
            <w:r>
              <w:rPr>
                <w:rFonts w:ascii="Times New Roman"/>
                <w:b w:val="false"/>
                <w:i w:val="false"/>
                <w:color w:val="000000"/>
                <w:sz w:val="20"/>
              </w:rPr>
              <w:t>
1) лотереяның атауы;</w:t>
            </w:r>
          </w:p>
          <w:p>
            <w:pPr>
              <w:spacing w:after="20"/>
              <w:ind w:left="20"/>
              <w:jc w:val="both"/>
            </w:pPr>
            <w:r>
              <w:rPr>
                <w:rFonts w:ascii="Times New Roman"/>
                <w:b w:val="false"/>
                <w:i w:val="false"/>
                <w:color w:val="000000"/>
                <w:sz w:val="20"/>
              </w:rPr>
              <w:t>
2) лотерея өткізу тәсілінің, аумағының және технологиясының, сондай-ақ жүлде қорын қалыптастыру тәсілінің көрсету;</w:t>
            </w:r>
          </w:p>
          <w:p>
            <w:pPr>
              <w:spacing w:after="20"/>
              <w:ind w:left="20"/>
              <w:jc w:val="both"/>
            </w:pPr>
            <w:r>
              <w:rPr>
                <w:rFonts w:ascii="Times New Roman"/>
                <w:b w:val="false"/>
                <w:i w:val="false"/>
                <w:color w:val="000000"/>
                <w:sz w:val="20"/>
              </w:rPr>
              <w:t>
3) орналасқан жері, банктік деректемелері, бизнес сәйкестендіру нөмірі көрсетілген лотерея операторының атауы;</w:t>
            </w:r>
          </w:p>
          <w:p>
            <w:pPr>
              <w:spacing w:after="20"/>
              <w:ind w:left="20"/>
              <w:jc w:val="both"/>
            </w:pPr>
            <w:r>
              <w:rPr>
                <w:rFonts w:ascii="Times New Roman"/>
                <w:b w:val="false"/>
                <w:i w:val="false"/>
                <w:color w:val="000000"/>
                <w:sz w:val="20"/>
              </w:rPr>
              <w:t>
4) лотереяны өткізілетін мерзімдері;</w:t>
            </w:r>
          </w:p>
          <w:p>
            <w:pPr>
              <w:spacing w:after="20"/>
              <w:ind w:left="20"/>
              <w:jc w:val="both"/>
            </w:pPr>
            <w:r>
              <w:rPr>
                <w:rFonts w:ascii="Times New Roman"/>
                <w:b w:val="false"/>
                <w:i w:val="false"/>
                <w:color w:val="000000"/>
                <w:sz w:val="20"/>
              </w:rPr>
              <w:t>
5) лотерея тұжырымдамасының сипаттамасы;</w:t>
            </w:r>
          </w:p>
          <w:p>
            <w:pPr>
              <w:spacing w:after="20"/>
              <w:ind w:left="20"/>
              <w:jc w:val="both"/>
            </w:pPr>
            <w:r>
              <w:rPr>
                <w:rFonts w:ascii="Times New Roman"/>
                <w:b w:val="false"/>
                <w:i w:val="false"/>
                <w:color w:val="000000"/>
                <w:sz w:val="20"/>
              </w:rPr>
              <w:t>
6) лотереяның ұйымдастырушылық-технологиялық сипаттамасы;</w:t>
            </w:r>
          </w:p>
          <w:p>
            <w:pPr>
              <w:spacing w:after="20"/>
              <w:ind w:left="20"/>
              <w:jc w:val="both"/>
            </w:pPr>
            <w:r>
              <w:rPr>
                <w:rFonts w:ascii="Times New Roman"/>
                <w:b w:val="false"/>
                <w:i w:val="false"/>
                <w:color w:val="000000"/>
                <w:sz w:val="20"/>
              </w:rPr>
              <w:t>
7) лотереяға қатысушылардың құқықтары мен міндеттері;</w:t>
            </w:r>
          </w:p>
          <w:p>
            <w:pPr>
              <w:spacing w:after="20"/>
              <w:ind w:left="20"/>
              <w:jc w:val="both"/>
            </w:pPr>
            <w:r>
              <w:rPr>
                <w:rFonts w:ascii="Times New Roman"/>
                <w:b w:val="false"/>
                <w:i w:val="false"/>
                <w:color w:val="000000"/>
                <w:sz w:val="20"/>
              </w:rPr>
              <w:t>
8) ұтты деп танылған лотереяға қатысушыға ұтысты төлеу тәртібі мен мерзімдерін, сондай-ақ ұтыс шыққан лотерея билеттеріне, түбіртектерге немесе өзге де құжаттарға сараптама жүргізу мерзімдері</w:t>
            </w:r>
          </w:p>
          <w:p>
            <w:pPr>
              <w:spacing w:after="20"/>
              <w:ind w:left="20"/>
              <w:jc w:val="both"/>
            </w:pPr>
            <w:r>
              <w:rPr>
                <w:rFonts w:ascii="Times New Roman"/>
                <w:b w:val="false"/>
                <w:i w:val="false"/>
                <w:color w:val="000000"/>
                <w:sz w:val="20"/>
              </w:rPr>
              <w:t>
9) лотереяға қатысушыларды лотереяға қатысу қағидалары және жүлде қорын ұтысқа салу нәтижелері туралы хабардар ету тәртібі;</w:t>
            </w:r>
          </w:p>
          <w:p>
            <w:pPr>
              <w:spacing w:after="20"/>
              <w:ind w:left="20"/>
              <w:jc w:val="both"/>
            </w:pPr>
            <w:r>
              <w:rPr>
                <w:rFonts w:ascii="Times New Roman"/>
                <w:b w:val="false"/>
                <w:i w:val="false"/>
                <w:color w:val="000000"/>
                <w:sz w:val="20"/>
              </w:rPr>
              <w:t>
10) лотерея билеттерін, түбіртіктерді немесе өзге де құжаттарды тарату (өткізу) тәртібі;</w:t>
            </w:r>
          </w:p>
          <w:p>
            <w:pPr>
              <w:spacing w:after="20"/>
              <w:ind w:left="20"/>
              <w:jc w:val="both"/>
            </w:pPr>
            <w:r>
              <w:rPr>
                <w:rFonts w:ascii="Times New Roman"/>
                <w:b w:val="false"/>
                <w:i w:val="false"/>
                <w:color w:val="000000"/>
                <w:sz w:val="20"/>
              </w:rPr>
              <w:t>
11) лотерея билетінің, түбіртектің немесе өзге де құжаттың бағасы;</w:t>
            </w:r>
          </w:p>
          <w:p>
            <w:pPr>
              <w:spacing w:after="20"/>
              <w:ind w:left="20"/>
              <w:jc w:val="both"/>
            </w:pPr>
            <w:r>
              <w:rPr>
                <w:rFonts w:ascii="Times New Roman"/>
                <w:b w:val="false"/>
                <w:i w:val="false"/>
                <w:color w:val="000000"/>
                <w:sz w:val="20"/>
              </w:rPr>
              <w:t>
12) ұтыстың мөлшері мен нысанын (ақшалай немесе заттай);</w:t>
            </w:r>
          </w:p>
          <w:p>
            <w:pPr>
              <w:spacing w:after="20"/>
              <w:ind w:left="20"/>
              <w:jc w:val="both"/>
            </w:pPr>
            <w:r>
              <w:rPr>
                <w:rFonts w:ascii="Times New Roman"/>
                <w:b w:val="false"/>
                <w:i w:val="false"/>
                <w:color w:val="000000"/>
                <w:sz w:val="20"/>
              </w:rPr>
              <w:t>
13) жүлде қорының жоспарланып отырған мөлшері;</w:t>
            </w:r>
          </w:p>
          <w:p>
            <w:pPr>
              <w:spacing w:after="20"/>
              <w:ind w:left="20"/>
              <w:jc w:val="both"/>
            </w:pPr>
            <w:r>
              <w:rPr>
                <w:rFonts w:ascii="Times New Roman"/>
                <w:b w:val="false"/>
                <w:i w:val="false"/>
                <w:color w:val="000000"/>
                <w:sz w:val="20"/>
              </w:rPr>
              <w:t>
14) жүлде қорының ұтыс ойынын өткізу тәртібін, ұтыстарды айқындау алгоритмін, бас жүлдені (бар болса) қалыптастыру мен ұтысқа салу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операторы бекіткен лотереяны өткізу шарттарының түпнұсқа данасын Лотерея және лотерея қызметі саласындағы уәкілетті органға оны өткізу басталғанға дейін күнтізбелік он күннен кешіктірмей жіберу және лотереяны өткізу шарттарын оны өткізу басталғанға дейін күнтізбелік бір күннен кешіктірмей өзінің интернет-ресурсында орналастыру бойынша міндеттемені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сатылған лотерея билеттерінен, түбіртектерден немесе нақты лотереяның өзге де құжаттарынан түскен түсімнің кемінде елу пайызы мөлшерінде не өз қаражаты есебінен жүлде қорын қалыптастыруды қамтамасыз ету жөніндегі міндеттемелерді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тираждық лотереяның жүлде қорын оны ойнату басталғанға дейін қалыптастыру жөніндегі талапты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лотереяға қатысушылар алдындағы ұтыстарды төлеу жөніндегі, сондай-ақ жүлде қорының қаражатын ұтыстарды төлеуден өзгеше пайдалану жөніндегі міндеттемелерді қоспағанда, жүлде қорына қандай да бір міндеттемелермен ауыртпалық салуға тыйым салу жөніндегі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жүлде қорын (бас жүлдені) бірнеше тираж бойына жинақтап қалыптастыру қағидаты өткізу шарттарында пайдаланылатын тираждық лотереяны қоспағанда, тираждық лотереяның жүлде қоры оған қатысы бар тираж шеңберінде толығымен ұтысқа салу бойынша талаптарды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өткізу шарттарына сәйкес ұтқан деп танылған лотереяға қатысушыға лотерея өткізу шарттарына сәйкес ұтыстарды мөлшері мен нысанында (ақшалай немесе заттай) төлеу жөніндегі талапты сақтамауы (ұтыстарды төлеу тиісті таралым өткізілгеннен кейін отыз күн мерзімнен кешіктірілмей басталуы және нәтижелері жарияланған сәттен бастап кемінде алты ай жалғасуы тиіс (жүлде қорының ұтыс ойыны)).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өткізу шарттарында белгіленген мерзімде талап етілмеген ұтыстарды тиісті тираждың (жүлде қорының ұтыс ойынының) нәтижелері жарияланған кезден бастап үш жыл ішінде сақтау жөніндегі талапты сақтамауы, содан кейін олар салық емес төлем түрінде бюджет кірісіне есептеледі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нысанды қоспағанда, лотерея билеттеріндегі, түбіртектердегі немесе өзге де құжаттардағы төмендегідей міндетті ақпараттың мазмұны бойынша талапты сақтамау:</w:t>
            </w:r>
          </w:p>
          <w:p>
            <w:pPr>
              <w:spacing w:after="20"/>
              <w:ind w:left="20"/>
              <w:jc w:val="both"/>
            </w:pPr>
            <w:r>
              <w:rPr>
                <w:rFonts w:ascii="Times New Roman"/>
                <w:b w:val="false"/>
                <w:i w:val="false"/>
                <w:color w:val="000000"/>
                <w:sz w:val="20"/>
              </w:rPr>
              <w:t>
1) лотереяның атауы;</w:t>
            </w:r>
          </w:p>
          <w:p>
            <w:pPr>
              <w:spacing w:after="20"/>
              <w:ind w:left="20"/>
              <w:jc w:val="both"/>
            </w:pPr>
            <w:r>
              <w:rPr>
                <w:rFonts w:ascii="Times New Roman"/>
                <w:b w:val="false"/>
                <w:i w:val="false"/>
                <w:color w:val="000000"/>
                <w:sz w:val="20"/>
              </w:rPr>
              <w:t>
2) лотерея операторының атауы, орналасқан жері, телефон нөмірлері және интернет-ресурсы;</w:t>
            </w:r>
          </w:p>
          <w:p>
            <w:pPr>
              <w:spacing w:after="20"/>
              <w:ind w:left="20"/>
              <w:jc w:val="both"/>
            </w:pPr>
            <w:r>
              <w:rPr>
                <w:rFonts w:ascii="Times New Roman"/>
                <w:b w:val="false"/>
                <w:i w:val="false"/>
                <w:color w:val="000000"/>
                <w:sz w:val="20"/>
              </w:rPr>
              <w:t>
3) тираждың нөмірі немесе атауы (тираждық лотереялар үшін);</w:t>
            </w:r>
          </w:p>
          <w:p>
            <w:pPr>
              <w:spacing w:after="20"/>
              <w:ind w:left="20"/>
              <w:jc w:val="both"/>
            </w:pPr>
            <w:r>
              <w:rPr>
                <w:rFonts w:ascii="Times New Roman"/>
                <w:b w:val="false"/>
                <w:i w:val="false"/>
                <w:color w:val="000000"/>
                <w:sz w:val="20"/>
              </w:rPr>
              <w:t>
4) лотерея билетінің, түбіртектің немесе өзге де құжаттың нөмірі;</w:t>
            </w:r>
          </w:p>
          <w:p>
            <w:pPr>
              <w:spacing w:after="20"/>
              <w:ind w:left="20"/>
              <w:jc w:val="both"/>
            </w:pPr>
            <w:r>
              <w:rPr>
                <w:rFonts w:ascii="Times New Roman"/>
                <w:b w:val="false"/>
                <w:i w:val="false"/>
                <w:color w:val="000000"/>
                <w:sz w:val="20"/>
              </w:rPr>
              <w:t>
5) лотерея билетінің, түбіртектің немесе өзге де құжаттың бағасы;</w:t>
            </w:r>
          </w:p>
          <w:p>
            <w:pPr>
              <w:spacing w:after="20"/>
              <w:ind w:left="20"/>
              <w:jc w:val="both"/>
            </w:pPr>
            <w:r>
              <w:rPr>
                <w:rFonts w:ascii="Times New Roman"/>
                <w:b w:val="false"/>
                <w:i w:val="false"/>
                <w:color w:val="000000"/>
                <w:sz w:val="20"/>
              </w:rPr>
              <w:t>
6) жүлде қорының ұтыс ойынын өткізу күні мен орны (тираждық лотерея үшін);</w:t>
            </w:r>
          </w:p>
          <w:p>
            <w:pPr>
              <w:spacing w:after="20"/>
              <w:ind w:left="20"/>
              <w:jc w:val="both"/>
            </w:pPr>
            <w:r>
              <w:rPr>
                <w:rFonts w:ascii="Times New Roman"/>
                <w:b w:val="false"/>
                <w:i w:val="false"/>
                <w:color w:val="000000"/>
                <w:sz w:val="20"/>
              </w:rPr>
              <w:t>
7) ұтысты алу орны мен мерзімі туралы деректер;</w:t>
            </w:r>
          </w:p>
          <w:p>
            <w:pPr>
              <w:spacing w:after="20"/>
              <w:ind w:left="20"/>
              <w:jc w:val="both"/>
            </w:pPr>
            <w:r>
              <w:rPr>
                <w:rFonts w:ascii="Times New Roman"/>
                <w:b w:val="false"/>
                <w:i w:val="false"/>
                <w:color w:val="000000"/>
                <w:sz w:val="20"/>
              </w:rPr>
              <w:t>
8) жүлде қорының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билеттерінің, түбіртектердің немесе өзге де құжаттардың электрондық нысанына міндетті ақпараттың мазмұны бойынша талапты сақтамауы:</w:t>
            </w:r>
          </w:p>
          <w:p>
            <w:pPr>
              <w:spacing w:after="20"/>
              <w:ind w:left="20"/>
              <w:jc w:val="both"/>
            </w:pPr>
            <w:r>
              <w:rPr>
                <w:rFonts w:ascii="Times New Roman"/>
                <w:b w:val="false"/>
                <w:i w:val="false"/>
                <w:color w:val="000000"/>
                <w:sz w:val="20"/>
              </w:rPr>
              <w:t>
1) лотерея операторының атауы;</w:t>
            </w:r>
          </w:p>
          <w:p>
            <w:pPr>
              <w:spacing w:after="20"/>
              <w:ind w:left="20"/>
              <w:jc w:val="both"/>
            </w:pPr>
            <w:r>
              <w:rPr>
                <w:rFonts w:ascii="Times New Roman"/>
                <w:b w:val="false"/>
                <w:i w:val="false"/>
                <w:color w:val="000000"/>
                <w:sz w:val="20"/>
              </w:rPr>
              <w:t>
2) лотерея билетінің, түбіртектің немесе өзге де құжаттың нөмірі;</w:t>
            </w:r>
          </w:p>
          <w:p>
            <w:pPr>
              <w:spacing w:after="20"/>
              <w:ind w:left="20"/>
              <w:jc w:val="both"/>
            </w:pPr>
            <w:r>
              <w:rPr>
                <w:rFonts w:ascii="Times New Roman"/>
                <w:b w:val="false"/>
                <w:i w:val="false"/>
                <w:color w:val="000000"/>
                <w:sz w:val="20"/>
              </w:rPr>
              <w:t>
3) лотерея билетінің, түбіртектің немесе өзге де құжаттың бағасы;</w:t>
            </w:r>
          </w:p>
          <w:p>
            <w:pPr>
              <w:spacing w:after="20"/>
              <w:ind w:left="20"/>
              <w:jc w:val="both"/>
            </w:pPr>
            <w:r>
              <w:rPr>
                <w:rFonts w:ascii="Times New Roman"/>
                <w:b w:val="false"/>
                <w:i w:val="false"/>
                <w:color w:val="000000"/>
                <w:sz w:val="20"/>
              </w:rPr>
              <w:t>
4) лотерея операторының орналасқан жері, телефон нөмірлері және интернет-ресурсы, лотереяның атауы, тираждың нөмірі немесе атауы (тираждық лотереялар үшін), жүлде қорының ұтыс ойынын өткізу күні мен орны (тираждық лотерея үшін), ұтысты алу орны мен мерзімдері, жүлде қорының мөлшері туралы кеңейтілген ақпаратқа қол жеткізуге сілтеме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билеттерінде, түбіртектерде немесе өзге де құжаттарда қамтылған ақпараттың орфография және түпнұсқалық аударма нормаларының талаптарын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тираждық лотереяның жүлде қорын кездейсоқ түрде ұтқан лотерея комбинациясын генерациялау жолымен лотерея жабдығымен ұтыс ойынын жүзеге асыру бойынша талапты сақтамауы, оны лотерея қатысушысы өз ұтысын анықтау мақсатында осы ұтыс ойынындағы лотерея комбинациясымен салыстыруға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тираждық лотереяның жүлде қорының ұтыс ойынын өткізу кезінде тираждық комиссия құру жөніндегі талапты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ұтыстарды телеарнада тікелей эфирде немесе интернет желісінде айқындау рәсімін көрсете отырып, тираждық лотереяның жүлде қорының ұтыс ойынын трансляциялауды қамтамасыз ету жөніндегі талапты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Қазақстан Республикасының бүкіл аумағында таратылатын мерзімді баспа басылымдарында үш жұмыс күні ішінде жүлде қорының және лотерея билеттері, түбіртектер немесе тираждық лотереяның өзге де құжаттары бойынша ұтыстардың әрбір ұтыс ойынының нәтижелерін жариялау жөніндегі талапты сақтамауы немесе лотерея операторының интернет-ресурсында көрсетілген ұтыс ойыны өткізілген кезден бастап он екі сағат ішінде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тираждық лотереяны өткізу тоқтатылған жағдайда, бас жүлдені қоса алғанда, жүлде қорын толық ойнату бойынша талаптарды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дене шынықтыруды және спортты дамытуға бағытталған бюджеттен тыс ақша қаражатын бөлу жөніндегі қызметті жүзеге асыратын бірыңғай операторға өткізілген лотерея билеттерінен, түбіртектерден немесе өзге де құжаттардан, тіркелген лотерея мөлшерлемелерінен түскен түсім мен жүлде қоры арасындағы айырманың кемінде он пайызын спортты дамытуға тоқсан сайын бағыттау міндетін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қаржылық мониторингке жататын ақшамен және (немесе) мүлікпен жасалатын операциялар (шекті сомаға тең немесе одан асатын операция) туралы ақпаратты ұсынбау (жасалған күннен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қаржы мониторингі жөніндегі уәкілетті органға дереу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ішкі бақылауды ұйымдастыру бағдарламасы;</w:t>
            </w:r>
          </w:p>
          <w:p>
            <w:pPr>
              <w:spacing w:after="20"/>
              <w:ind w:left="20"/>
              <w:jc w:val="both"/>
            </w:pPr>
            <w:r>
              <w:rPr>
                <w:rFonts w:ascii="Times New Roman"/>
                <w:b w:val="false"/>
                <w:i w:val="false"/>
                <w:color w:val="000000"/>
                <w:sz w:val="20"/>
              </w:rPr>
              <w:t>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операциялар жүргізуден бас тарту және (немесе) іскерлік қатынастар орнатудан және қаржы мониторингі жөніндегі уәкілетті органға ақшамен және (немесе) мүлікпен операциялар жүргізуден бас тарту туралы ақпарат ұсынудан бас тарту жөніндегі міндеттерді орындамауы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 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