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636a" w14:textId="9286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саласында мемлекеттік қызметтер көрсету қағидаларын бекіту туралы" Қазақстан Республикасы Мәдениет және спорт министрінің 2020 жылғы 8 шiлдедегi № 195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22 желтоқсандағы № 383 бұйрығы. Қазақстан Республикасының Әділет министрлігінде 2022 жылғы 23 желтоқсанда № 31247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"Казино қызметімен айналысу үшін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"Казино қызметімен айналысу үшін лицензия беру" мемлекеттік көрсетілетін қызметінің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"Казино қызметімен айналысу үшін лицензия беру" мемлекеттік қызметті көрсету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Көрсетілетін қызметті алушыға лицензия алу үшін "Ойын бизнесі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біліктілік талаптары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көрсетілетін қызмет көрсету процесінің сипаттамасын, нысанын, мазмұны мен нәтижесін,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 құжаттарды алған сәттен бастап екі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жағдайларда өтінішті одан әрі қараудан дәлелді бас тарту дайындайды.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берушімен 10 (он) жұмыс күні ішінде лицензия беруге бұйрық, қайта ресімделген лицензия – 3 (үш) жұмыс күні ішінде дайындалады, бұрыштама қойылады /қол қойылады.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p>
      <w:pPr>
        <w:spacing w:after="0"/>
        <w:ind w:left="0"/>
        <w:jc w:val="both"/>
      </w:pPr>
      <w:r>
        <w:rPr>
          <w:rFonts w:ascii="Times New Roman"/>
          <w:b w:val="false"/>
          <w:i w:val="false"/>
          <w:color w:val="000000"/>
          <w:sz w:val="28"/>
        </w:rPr>
        <w:t>
      Ойын бизнесі саласындағы уәкілетті орган мемлекеттік қызмет көрсету тәртібін айқындайтын осы Қағидаларға енгізілген өзгерістер және (немесе) толықтырулар туралы ақпаратты тисті нормативтік құқықтық актіні әділет органдарында мемлекеттік тркеуден өткізгеннен кейін күнтізбелік 3 (үш) күн ішінде Бірыңғай байланыс-орталығына және "электрондық үкiметтiң" ақпараттық-коммуникациялық инфрақұрылымының операторына жібереді.</w:t>
      </w:r>
    </w:p>
    <w:bookmarkStart w:name="z14" w:id="1"/>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"Ойын автоматтары залы қызметімен айналысу үшін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"Ойын автоматтары залы қызметімен айналысу үшін лицензия беру" мемлекеттік көрсетілетін қызметінің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"Ойын автоматтары залы қызметімен айналысу үшін лицензия беру" мемлекеттік қызметті көрсету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Көрсетілетін қызметті алушыға лицензия алу үшін "Ойын бизнесі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біліктілік талаптары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көрсетілетін қызмет көрсету процесінің сипаттамасын, нысанын, мазмұны мен нәтижесін,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 құжаттарды алған сәттен бастап екі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жағдайларда өтінішті одан әрі қараудан дәлелді бас тарту дайындайды.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берушімен 10 (он) жұмыс күні ішінде лицензия беруге бұйрық, қайта ресімделген лицензия – 3 (үш) жұмыс күні ішінде дайындалады, бұрыштама қойылады /қол қойылады.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p>
      <w:pPr>
        <w:spacing w:after="0"/>
        <w:ind w:left="0"/>
        <w:jc w:val="both"/>
      </w:pPr>
      <w:r>
        <w:rPr>
          <w:rFonts w:ascii="Times New Roman"/>
          <w:b w:val="false"/>
          <w:i w:val="false"/>
          <w:color w:val="000000"/>
          <w:sz w:val="28"/>
        </w:rPr>
        <w:t>
      Ойын бизнесі саласындағы уәкілетті орган мемлекеттік қызмет көрсету тәртібін айқындайтын осы Қағидаларға енгізілген өзгерістер және (немесе) толықтырулар туралы ақпаратты тисті нормативтік құқықтық актіні әділет органдарында мемлекеттік тркеуден өткізгеннен кейін күнтізбелік 3 (үш) күн ішінде Бірыңғай байланыс-орталығына және "электрондық үкiметтiң" ақпараттық-коммуникациялық инфрақұрылымының операторына жібереді.</w:t>
      </w:r>
    </w:p>
    <w:bookmarkStart w:name="z25" w:id="2"/>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"Букмекер кеңсесі қызметімен айналысу үшін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"Букмекер кеңсесі қызметімен айналысу үшін лицензия беру" мемлекеттік көрсетілетін қызметінің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"Букмекер кеңсесі қызметімен айналысу үшін лицензия беру" мемлекеттік көрсетілетін қызметінің қағидалары" мемлекеттік қызметті көрсету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Көрсетілетін қызметті алушыға лицензия алу үшін "Ойын бизнесі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біліктілік талаптары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көрсетілетін қызмет көрсету процесінің сипаттамасын, нысанын, мазмұны мен нәтижесін,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 құжаттарды алған сәттен бастап екі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жағдайларда өтінішті одан әрі қараудан дәлелді бас тарту дайындайды.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берушімен 10 (он) жұмыс күні ішінде лицензия беруге бұйрық, қайта ресімделген лицензия – 3 (үш) жұмыс күні ішінде дайындалады, бұрыштама қойылады /қол қойылады.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p>
      <w:pPr>
        <w:spacing w:after="0"/>
        <w:ind w:left="0"/>
        <w:jc w:val="both"/>
      </w:pPr>
      <w:r>
        <w:rPr>
          <w:rFonts w:ascii="Times New Roman"/>
          <w:b w:val="false"/>
          <w:i w:val="false"/>
          <w:color w:val="000000"/>
          <w:sz w:val="28"/>
        </w:rPr>
        <w:t>
      Ойын бизнесі саласындағы уәкілетті орган мемлекеттік қызмет көрсету тәртібін айқындайтын осы Қағидаларға енгізілген өзгерістер және (немесе) толықтырулар туралы ақпаратты тисті нормативтік құқықтық актіні әділет органдарында мемлекеттік тркеуден өткізгеннен кейін күнтізбелік 3 (үш) күн ішінде Бірыңғай байланыс-орталығына және "электрондық үкiметтiң" ақпараттық-коммуникациялық инфрақұрылымының операторына жібереді.</w:t>
      </w:r>
    </w:p>
    <w:bookmarkStart w:name="z36" w:id="3"/>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"Тотализатор қызметімен айналысу үшін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"Тотализатор қызметімен айналысу үшін лицензия беру" мемлекеттік көрсетілетін қызметінің қағидалары (бұдан әрі – Қағидалар)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"Тотализатор қызметімен айналысу үшін лицензия беру" мемлекеттік қызметті көрсету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Көрсетілетін қызметті алушыға лицензия алу үшін "Ойын бизнесі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біліктілік талаптары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көрсетілетін қызмет көрсету процесінің сипаттамасын, нысанын, мазмұны мен нәтижесін, сондай-ақ мемлекеттік көрсетілетін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 құжаттарды алған сәттен бастап екі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жағдайларда өтінішті одан әрі қараудан дәлелді бас тарту дайындайды.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берушімен 10 (он) жұмыс күні ішінде лицензия беруге бұйрық, қайта ресімделген лицензия – 3 (үш) жұмыс күні ішінде дайындалады, бұрыштама қойылады /қол қойылады.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p>
      <w:pPr>
        <w:spacing w:after="0"/>
        <w:ind w:left="0"/>
        <w:jc w:val="both"/>
      </w:pPr>
      <w:r>
        <w:rPr>
          <w:rFonts w:ascii="Times New Roman"/>
          <w:b w:val="false"/>
          <w:i w:val="false"/>
          <w:color w:val="000000"/>
          <w:sz w:val="28"/>
        </w:rPr>
        <w:t>
      Ойын бизнесі саласындағы уәкілетті орган мемлекеттік қызмет көрсету тәртібін айқындайтын осы Қағидаларға енгізілген өзгерістер және (немесе) толықтырулар туралы ақпаратты тисті нормативтік құқықтық актіні әділет органдарында мемлекеттік тркеуден өткізгеннен кейін күнтізбелік 3 (үш) күн ішінде Бірыңғай байланыс-орталығына және "электрондық үкiметтiң" ақпараттық-коммуникациялық инфрақұрылымының операторына жібереді.</w:t>
      </w:r>
    </w:p>
    <w:bookmarkStart w:name="z47" w:id="4"/>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w:t>
      </w:r>
    </w:p>
    <w:bookmarkEnd w:id="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 </w:t>
      </w:r>
    </w:p>
    <w:bookmarkStart w:name="z50" w:id="5"/>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заңнамамен белгіленген тәртіппен:</w:t>
      </w:r>
    </w:p>
    <w:bookmarkEnd w:id="5"/>
    <w:bookmarkStart w:name="z51"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52" w:id="7"/>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 Бірыңғай байланыс-орталығына мемлекеттік қызмет көрсету тәртібіне енгізілген өзгерістер туралы ақпаратты беруді қамтамасыз етсін;</w:t>
      </w:r>
    </w:p>
    <w:bookmarkEnd w:id="7"/>
    <w:bookmarkStart w:name="z53" w:id="8"/>
    <w:p>
      <w:pPr>
        <w:spacing w:after="0"/>
        <w:ind w:left="0"/>
        <w:jc w:val="both"/>
      </w:pPr>
      <w:r>
        <w:rPr>
          <w:rFonts w:ascii="Times New Roman"/>
          <w:b w:val="false"/>
          <w:i w:val="false"/>
          <w:color w:val="000000"/>
          <w:sz w:val="28"/>
        </w:rPr>
        <w:t>
      3) осы тармақпен көзделген іс-шаралардың орындалуы туралы мәліметтерді іс-шараларды орындағаннан кейін үш жұмыс күні ішінде Қазақстан Республикасы Мәдениет және спорт министрлігінің Заң қызметі департаментіне ұсынуды қамтамасыз етсін.</w:t>
      </w:r>
    </w:p>
    <w:bookmarkEnd w:id="8"/>
    <w:bookmarkStart w:name="z5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9"/>
    <w:bookmarkStart w:name="z5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22 желтоқсандағы</w:t>
            </w:r>
            <w:r>
              <w:br/>
            </w:r>
            <w:r>
              <w:rPr>
                <w:rFonts w:ascii="Times New Roman"/>
                <w:b w:val="false"/>
                <w:i w:val="false"/>
                <w:color w:val="000000"/>
                <w:sz w:val="20"/>
              </w:rPr>
              <w:t>№ 383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"Казино қызметімен айналысу </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Туризм индустриясы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лицензия беру – 10 (он ) жұмыс күні;</w:t>
            </w:r>
          </w:p>
          <w:p>
            <w:pPr>
              <w:spacing w:after="20"/>
              <w:ind w:left="20"/>
              <w:jc w:val="both"/>
            </w:pPr>
            <w:r>
              <w:rPr>
                <w:rFonts w:ascii="Times New Roman"/>
                <w:b w:val="false"/>
                <w:i w:val="false"/>
                <w:color w:val="000000"/>
                <w:sz w:val="20"/>
              </w:rPr>
              <w:t>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айналысуға құқық беретін лицензия, қайта ресімделген лицензия,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заңды тұлғаларға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казино қызметімен айналысу құқығына жыл сайынғы лицензиялық алым мөлшерлемелері:</w:t>
            </w:r>
          </w:p>
          <w:p>
            <w:pPr>
              <w:spacing w:after="20"/>
              <w:ind w:left="20"/>
              <w:jc w:val="both"/>
            </w:pPr>
            <w:r>
              <w:rPr>
                <w:rFonts w:ascii="Times New Roman"/>
                <w:b w:val="false"/>
                <w:i w:val="false"/>
                <w:color w:val="000000"/>
                <w:sz w:val="20"/>
              </w:rPr>
              <w:t>
лицензия беру кезінде лицензиялық алым 3845 айлық есептік көрсеткішті (бұдан әрі – АЕК) құрайды;</w:t>
            </w:r>
          </w:p>
          <w:p>
            <w:pPr>
              <w:spacing w:after="20"/>
              <w:ind w:left="20"/>
              <w:jc w:val="both"/>
            </w:pPr>
            <w:r>
              <w:rPr>
                <w:rFonts w:ascii="Times New Roman"/>
                <w:b w:val="false"/>
                <w:i w:val="false"/>
                <w:color w:val="000000"/>
                <w:sz w:val="20"/>
              </w:rPr>
              <w:t>
лицензияны қайта ресімдеу үшін лицензиялық алым лицензия беру кезіндегі мөлшерлеменің 10 %-ын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1) осы Қағидалардың 2-қосымшасына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халықтың санитариялық-эпидемиологиялық саламаттылығы (эпидемиялық мәні жоғары объектілер үшін – санитариялық-эпидемиологиялық қорытынды алу, эпидемиялық мәні болмашы объектілер үшін –қызметтің басталғаны туралы хабарлама) және өрт қауіпсіздігі салаларындағы рұқсат беру құжаттарының көшірмелерін ұсына отырып, осы Қағидалардың 3-қосымшасына сәйкес нысан бойынша үш жұлдыздан кем емес санаттағы қонақ үй кешенінде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p>
            <w:pPr>
              <w:spacing w:after="20"/>
              <w:ind w:left="20"/>
              <w:jc w:val="both"/>
            </w:pPr>
            <w:r>
              <w:rPr>
                <w:rFonts w:ascii="Times New Roman"/>
                <w:b w:val="false"/>
                <w:i w:val="false"/>
                <w:color w:val="000000"/>
                <w:sz w:val="20"/>
              </w:rPr>
              <w:t>
4) осы Қағидалардың 4-қосымшасына сәйкес нысан бойынша меншік құқығындағы ойын жабдығы туралы мәліметтер нысаны;</w:t>
            </w:r>
          </w:p>
          <w:p>
            <w:pPr>
              <w:spacing w:after="20"/>
              <w:ind w:left="20"/>
              <w:jc w:val="both"/>
            </w:pPr>
            <w:r>
              <w:rPr>
                <w:rFonts w:ascii="Times New Roman"/>
                <w:b w:val="false"/>
                <w:i w:val="false"/>
                <w:color w:val="000000"/>
                <w:sz w:val="20"/>
              </w:rPr>
              <w:t>
5) осы Қағидалардың 5-қосымшасына сәйкес нысан бойынша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 нысаны;</w:t>
            </w:r>
          </w:p>
          <w:p>
            <w:pPr>
              <w:spacing w:after="20"/>
              <w:ind w:left="20"/>
              <w:jc w:val="both"/>
            </w:pPr>
            <w:r>
              <w:rPr>
                <w:rFonts w:ascii="Times New Roman"/>
                <w:b w:val="false"/>
                <w:i w:val="false"/>
                <w:color w:val="000000"/>
                <w:sz w:val="20"/>
              </w:rPr>
              <w:t>
6)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20"/>
              <w:ind w:left="20"/>
              <w:jc w:val="both"/>
            </w:pPr>
            <w:r>
              <w:rPr>
                <w:rFonts w:ascii="Times New Roman"/>
                <w:b w:val="false"/>
                <w:i w:val="false"/>
                <w:color w:val="000000"/>
                <w:sz w:val="20"/>
              </w:rPr>
              <w:t>
7) құжаттың электрондық көшірмесі нысанындағы ойын мекемесі жұмысының, ставкаларды қабылдаудың және өткізілетін құмар ойындарының және (немесе) бәс тігудің қазақ және орыс тілдеріндегі қағидалары;</w:t>
            </w:r>
          </w:p>
          <w:p>
            <w:pPr>
              <w:spacing w:after="20"/>
              <w:ind w:left="20"/>
              <w:jc w:val="both"/>
            </w:pPr>
            <w:r>
              <w:rPr>
                <w:rFonts w:ascii="Times New Roman"/>
                <w:b w:val="false"/>
                <w:i w:val="false"/>
                <w:color w:val="000000"/>
                <w:sz w:val="20"/>
              </w:rPr>
              <w:t>
8)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осы Қағидалардың 6-қосымшасына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 </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xml:space="preserve">
3) мемлекеттік көрсетілетін қызметті алушының "Ойын бизнесі туралы" Қазақстан Республикасының Заңының </w:t>
            </w:r>
            <w:r>
              <w:rPr>
                <w:rFonts w:ascii="Times New Roman"/>
                <w:b w:val="false"/>
                <w:i w:val="false"/>
                <w:color w:val="000000"/>
                <w:sz w:val="20"/>
              </w:rPr>
              <w:t>13-бабында</w:t>
            </w:r>
            <w:r>
              <w:rPr>
                <w:rFonts w:ascii="Times New Roman"/>
                <w:b w:val="false"/>
                <w:i w:val="false"/>
                <w:color w:val="000000"/>
                <w:sz w:val="20"/>
              </w:rPr>
              <w:t xml:space="preserve"> белгіленген біліктілік талаптарға сәйкес келмеуі;</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20"/>
              <w:ind w:left="20"/>
              <w:jc w:val="both"/>
            </w:pPr>
            <w:r>
              <w:rPr>
                <w:rFonts w:ascii="Times New Roman"/>
                <w:b w:val="false"/>
                <w:i w:val="false"/>
                <w:color w:val="000000"/>
                <w:sz w:val="20"/>
              </w:rPr>
              <w:t>
7)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берушінің 8 (7172) 741680 телефоны арқылы, не Бірыңғай байланыс-орталығының: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22 желтоқсандағы</w:t>
            </w:r>
            <w:r>
              <w:br/>
            </w:r>
            <w:r>
              <w:rPr>
                <w:rFonts w:ascii="Times New Roman"/>
                <w:b w:val="false"/>
                <w:i w:val="false"/>
                <w:color w:val="000000"/>
                <w:sz w:val="20"/>
              </w:rPr>
              <w:t>№ 383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Туризм индустриясы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лицензия беру – 10 (он ) жұмыс күні;</w:t>
            </w:r>
          </w:p>
          <w:p>
            <w:pPr>
              <w:spacing w:after="20"/>
              <w:ind w:left="20"/>
              <w:jc w:val="both"/>
            </w:pPr>
            <w:r>
              <w:rPr>
                <w:rFonts w:ascii="Times New Roman"/>
                <w:b w:val="false"/>
                <w:i w:val="false"/>
                <w:color w:val="000000"/>
                <w:sz w:val="20"/>
              </w:rPr>
              <w:t>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айналысуға құқық беретін лицензия, қайта ресімделген лицензия,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заңды тұлғаларға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ойын автоматтары залы қызметімен айналысу құқығына жыл сайынғы лицензиялық алым мөлшерлемелері:</w:t>
            </w:r>
          </w:p>
          <w:p>
            <w:pPr>
              <w:spacing w:after="20"/>
              <w:ind w:left="20"/>
              <w:jc w:val="both"/>
            </w:pPr>
            <w:r>
              <w:rPr>
                <w:rFonts w:ascii="Times New Roman"/>
                <w:b w:val="false"/>
                <w:i w:val="false"/>
                <w:color w:val="000000"/>
                <w:sz w:val="20"/>
              </w:rPr>
              <w:t>
лицензия беру кезінде лицензиялық алым 3845 айлық есептік көрсеткішті (бұдан әрі – АЕК) құрайды;</w:t>
            </w:r>
          </w:p>
          <w:p>
            <w:pPr>
              <w:spacing w:after="20"/>
              <w:ind w:left="20"/>
              <w:jc w:val="both"/>
            </w:pPr>
            <w:r>
              <w:rPr>
                <w:rFonts w:ascii="Times New Roman"/>
                <w:b w:val="false"/>
                <w:i w:val="false"/>
                <w:color w:val="000000"/>
                <w:sz w:val="20"/>
              </w:rPr>
              <w:t>
лицензияны қайта ресімдеу үшін лицензиялық алым лицензия беру кезіндегі мөлшерлеменің 10 %-ын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1) осы Қағидалардың 2-қосымшасына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халықтың санитариялық-эпидемиологиялық саламаттылығы (эпидемиялық мәні жоғары объектілер үшін – санитариялық-эпидемиологиялық қорытынды алу, эпидемиялық мәні болмашы объектілер үшін –қызметтің басталғаны туралы хабарлама) және өрт қауіпсіздігі салаларындағы рұқсат беру құжаттарының көшірмелерін ұсына отырып, осы Қағидалардың 3-қосымшасына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p>
            <w:pPr>
              <w:spacing w:after="20"/>
              <w:ind w:left="20"/>
              <w:jc w:val="both"/>
            </w:pPr>
            <w:r>
              <w:rPr>
                <w:rFonts w:ascii="Times New Roman"/>
                <w:b w:val="false"/>
                <w:i w:val="false"/>
                <w:color w:val="000000"/>
                <w:sz w:val="20"/>
              </w:rPr>
              <w:t>
4) осы Қағидалардың 4-қосымшасына сәйкес нысан бойынша меншік құқығындағы ойын жабдығы туралы мәліметтер нысаны;</w:t>
            </w:r>
          </w:p>
          <w:p>
            <w:pPr>
              <w:spacing w:after="20"/>
              <w:ind w:left="20"/>
              <w:jc w:val="both"/>
            </w:pPr>
            <w:r>
              <w:rPr>
                <w:rFonts w:ascii="Times New Roman"/>
                <w:b w:val="false"/>
                <w:i w:val="false"/>
                <w:color w:val="000000"/>
                <w:sz w:val="20"/>
              </w:rPr>
              <w:t>
5) осы Қағидалардың 5-қосымшасына сәйкес нысан бойынша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 нысаны;</w:t>
            </w:r>
          </w:p>
          <w:p>
            <w:pPr>
              <w:spacing w:after="20"/>
              <w:ind w:left="20"/>
              <w:jc w:val="both"/>
            </w:pPr>
            <w:r>
              <w:rPr>
                <w:rFonts w:ascii="Times New Roman"/>
                <w:b w:val="false"/>
                <w:i w:val="false"/>
                <w:color w:val="000000"/>
                <w:sz w:val="20"/>
              </w:rPr>
              <w:t>
6)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20"/>
              <w:ind w:left="20"/>
              <w:jc w:val="both"/>
            </w:pPr>
            <w:r>
              <w:rPr>
                <w:rFonts w:ascii="Times New Roman"/>
                <w:b w:val="false"/>
                <w:i w:val="false"/>
                <w:color w:val="000000"/>
                <w:sz w:val="20"/>
              </w:rPr>
              <w:t>
7) құжаттың электрондық көшірмесі нысанындағы ойын мекемесі жұмысының, ставкаларды қабылдаудың және өткізілетін құмар ойындарының және (немесе) бәс тігудің қазақ және орыс тілдеріндегі қағидалары;</w:t>
            </w:r>
          </w:p>
          <w:p>
            <w:pPr>
              <w:spacing w:after="20"/>
              <w:ind w:left="20"/>
              <w:jc w:val="both"/>
            </w:pPr>
            <w:r>
              <w:rPr>
                <w:rFonts w:ascii="Times New Roman"/>
                <w:b w:val="false"/>
                <w:i w:val="false"/>
                <w:color w:val="000000"/>
                <w:sz w:val="20"/>
              </w:rPr>
              <w:t>
8)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осы Қағидалардың 6-қосымшасына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xml:space="preserve">
3) мемлекеттік көрсетілетін қызметті алушының "Ойын бизнесі туралы" Қазақстан Республикасының Заңының </w:t>
            </w:r>
            <w:r>
              <w:rPr>
                <w:rFonts w:ascii="Times New Roman"/>
                <w:b w:val="false"/>
                <w:i w:val="false"/>
                <w:color w:val="000000"/>
                <w:sz w:val="20"/>
              </w:rPr>
              <w:t>13-бабында</w:t>
            </w:r>
            <w:r>
              <w:rPr>
                <w:rFonts w:ascii="Times New Roman"/>
                <w:b w:val="false"/>
                <w:i w:val="false"/>
                <w:color w:val="000000"/>
                <w:sz w:val="20"/>
              </w:rPr>
              <w:t xml:space="preserve"> белгіленген біліктілік талаптарға сәйкес келмеуі;</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20"/>
              <w:ind w:left="20"/>
              <w:jc w:val="both"/>
            </w:pPr>
            <w:r>
              <w:rPr>
                <w:rFonts w:ascii="Times New Roman"/>
                <w:b w:val="false"/>
                <w:i w:val="false"/>
                <w:color w:val="000000"/>
                <w:sz w:val="20"/>
              </w:rPr>
              <w:t>
7)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берушінің 8 (7172) 741680 телефоны арқылы, не Бірыңғай байланыс-орталығының: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міндетін атқарушы </w:t>
            </w:r>
            <w:r>
              <w:br/>
            </w:r>
            <w:r>
              <w:rPr>
                <w:rFonts w:ascii="Times New Roman"/>
                <w:b w:val="false"/>
                <w:i w:val="false"/>
                <w:color w:val="000000"/>
                <w:sz w:val="20"/>
              </w:rPr>
              <w:t xml:space="preserve">2022 жылғы 22 желтоқсандағы </w:t>
            </w:r>
            <w:r>
              <w:br/>
            </w:r>
            <w:r>
              <w:rPr>
                <w:rFonts w:ascii="Times New Roman"/>
                <w:b w:val="false"/>
                <w:i w:val="false"/>
                <w:color w:val="000000"/>
                <w:sz w:val="20"/>
              </w:rPr>
              <w:t>№ 383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"Букмекер кеңсесі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Туризм индустриясы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лицензия беру – 10 (он ) жұмыс күні;</w:t>
            </w:r>
          </w:p>
          <w:p>
            <w:pPr>
              <w:spacing w:after="20"/>
              <w:ind w:left="20"/>
              <w:jc w:val="both"/>
            </w:pPr>
            <w:r>
              <w:rPr>
                <w:rFonts w:ascii="Times New Roman"/>
                <w:b w:val="false"/>
                <w:i w:val="false"/>
                <w:color w:val="000000"/>
                <w:sz w:val="20"/>
              </w:rPr>
              <w:t>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айналысуға құқық беретін лицензия, қайта ресімделген лицензия,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заңды тұлғаларға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букмекер кеңсесі қызметімен айналысу құқығына жыл сайынғы лицензиялық алым мөлшерлемелері:</w:t>
            </w:r>
          </w:p>
          <w:p>
            <w:pPr>
              <w:spacing w:after="20"/>
              <w:ind w:left="20"/>
              <w:jc w:val="both"/>
            </w:pPr>
            <w:r>
              <w:rPr>
                <w:rFonts w:ascii="Times New Roman"/>
                <w:b w:val="false"/>
                <w:i w:val="false"/>
                <w:color w:val="000000"/>
                <w:sz w:val="20"/>
              </w:rPr>
              <w:t>
лицензия беру кезінде лицензиялық алым 640 айлық есептік көрсеткішті (бұдан әрі – АЕК) құрайды;</w:t>
            </w:r>
          </w:p>
          <w:p>
            <w:pPr>
              <w:spacing w:after="20"/>
              <w:ind w:left="20"/>
              <w:jc w:val="both"/>
            </w:pPr>
            <w:r>
              <w:rPr>
                <w:rFonts w:ascii="Times New Roman"/>
                <w:b w:val="false"/>
                <w:i w:val="false"/>
                <w:color w:val="000000"/>
                <w:sz w:val="20"/>
              </w:rPr>
              <w:t>
лицензияны қайта ресімдеу үшін лицензиялық алым лицензия беру кезіндегі мөлшерлеменің 10 %-ын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1) осы Қағидалардың 2-қосымшасына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халықтың санитариялық-эпидемиологиялық саламаттылығы (эпидемиялық мәні жоғары объектілер үшін – санитариялық-эпидемиологиялық қорытынды алу, эпидемиялық мәні болмашы объектілер үшін –қызметтің басталғаны туралы хабарлама) және өрт қауіпсіздігі салаларындағы рұқсат беру құжаттарының көшірмелерін ұсына отырып, осы Қағидалардың 3-қосымшасына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p>
            <w:pPr>
              <w:spacing w:after="20"/>
              <w:ind w:left="20"/>
              <w:jc w:val="both"/>
            </w:pPr>
            <w:r>
              <w:rPr>
                <w:rFonts w:ascii="Times New Roman"/>
                <w:b w:val="false"/>
                <w:i w:val="false"/>
                <w:color w:val="000000"/>
                <w:sz w:val="20"/>
              </w:rPr>
              <w:t>
4) осы Қағидалардың 4-қосымшасына сәйкес осы стандартқа 3-қосымшаға сәйкес нысан бойынша меншік құқығындағы ойын жабдығы туралы мәліметтер нысаны;</w:t>
            </w:r>
          </w:p>
          <w:p>
            <w:pPr>
              <w:spacing w:after="20"/>
              <w:ind w:left="20"/>
              <w:jc w:val="both"/>
            </w:pPr>
            <w:r>
              <w:rPr>
                <w:rFonts w:ascii="Times New Roman"/>
                <w:b w:val="false"/>
                <w:i w:val="false"/>
                <w:color w:val="000000"/>
                <w:sz w:val="20"/>
              </w:rPr>
              <w:t>
5) осы Қағидалардың 5-қосымшасына сәйкес осы стандартқа 4-қосымшаға сәйкес нысан бойынша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 нысаны;</w:t>
            </w:r>
          </w:p>
          <w:p>
            <w:pPr>
              <w:spacing w:after="20"/>
              <w:ind w:left="20"/>
              <w:jc w:val="both"/>
            </w:pPr>
            <w:r>
              <w:rPr>
                <w:rFonts w:ascii="Times New Roman"/>
                <w:b w:val="false"/>
                <w:i w:val="false"/>
                <w:color w:val="000000"/>
                <w:sz w:val="20"/>
              </w:rPr>
              <w:t>
6) құжаттың электрондық көшірмесі нысанындағы букмекерлік кеңсенің жұмысының, ставкаларды қабылдаудың және өткізілетін құмар ойындарының және (немесе) бәс тігудің қазақ және орыс тілдеріндегі қағидалары;</w:t>
            </w:r>
          </w:p>
          <w:p>
            <w:pPr>
              <w:spacing w:after="20"/>
              <w:ind w:left="20"/>
              <w:jc w:val="both"/>
            </w:pPr>
            <w:r>
              <w:rPr>
                <w:rFonts w:ascii="Times New Roman"/>
                <w:b w:val="false"/>
                <w:i w:val="false"/>
                <w:color w:val="000000"/>
                <w:sz w:val="20"/>
              </w:rPr>
              <w:t>
7)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40000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осы Қағидалардың 6-қосымшасына сәйкес көрсетілетін қызметті алушының ЭЦҚ-мен куәландырылған электрондық сұрау салу нысанындағы лицензия алу үшін заңды тұлғаның өтініші (бұдан әрі – электрондық сұрау салу);</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 </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xml:space="preserve">
3) мемлекеттік көрсетілетін қызметті алушының "Ойын бизнесі туралы" Қазақстан Республикасының Заңының </w:t>
            </w:r>
            <w:r>
              <w:rPr>
                <w:rFonts w:ascii="Times New Roman"/>
                <w:b w:val="false"/>
                <w:i w:val="false"/>
                <w:color w:val="000000"/>
                <w:sz w:val="20"/>
              </w:rPr>
              <w:t>13-бабында</w:t>
            </w:r>
            <w:r>
              <w:rPr>
                <w:rFonts w:ascii="Times New Roman"/>
                <w:b w:val="false"/>
                <w:i w:val="false"/>
                <w:color w:val="000000"/>
                <w:sz w:val="20"/>
              </w:rPr>
              <w:t xml:space="preserve"> белгіленген біліктілік талаптарға сәйкес келмеуі;</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20"/>
              <w:ind w:left="20"/>
              <w:jc w:val="both"/>
            </w:pPr>
            <w:r>
              <w:rPr>
                <w:rFonts w:ascii="Times New Roman"/>
                <w:b w:val="false"/>
                <w:i w:val="false"/>
                <w:color w:val="000000"/>
                <w:sz w:val="20"/>
              </w:rPr>
              <w:t>
7)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берушінің 8 (7172) 741680 телефоны арқылы, не Бірыңғай байланыс-орталығының: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22 желтоқсандағы</w:t>
            </w:r>
            <w:r>
              <w:br/>
            </w:r>
            <w:r>
              <w:rPr>
                <w:rFonts w:ascii="Times New Roman"/>
                <w:b w:val="false"/>
                <w:i w:val="false"/>
                <w:color w:val="000000"/>
                <w:sz w:val="20"/>
              </w:rPr>
              <w:t>№ 383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Туризм индустриясы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құжаттар топтамасын порталға тапсырған сәттен бастап:</w:t>
            </w:r>
          </w:p>
          <w:p>
            <w:pPr>
              <w:spacing w:after="20"/>
              <w:ind w:left="20"/>
              <w:jc w:val="both"/>
            </w:pPr>
            <w:r>
              <w:rPr>
                <w:rFonts w:ascii="Times New Roman"/>
                <w:b w:val="false"/>
                <w:i w:val="false"/>
                <w:color w:val="000000"/>
                <w:sz w:val="20"/>
              </w:rPr>
              <w:t>
лицензия беру – 10 (он ) жұмыс күні;</w:t>
            </w:r>
          </w:p>
          <w:p>
            <w:pPr>
              <w:spacing w:after="20"/>
              <w:ind w:left="20"/>
              <w:jc w:val="both"/>
            </w:pPr>
            <w:r>
              <w:rPr>
                <w:rFonts w:ascii="Times New Roman"/>
                <w:b w:val="false"/>
                <w:i w:val="false"/>
                <w:color w:val="000000"/>
                <w:sz w:val="20"/>
              </w:rPr>
              <w:t>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және (немесе) қолданылу мерзімі өтіп кеткен кезде көрсетілетін қызметті берушінің өтінішті қабылдаудан жазбаша дәлелді бас тартуы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айналысуға құқық беретін лицензия, қайта ресімделген лицензия,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ақылы негізде заңды тұлғаларға көрсетіледі. </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4-тармағына сәйкес, тотализатор қызметімен айналысу құқығына жыл сайынғы лицензиялық алым мөлшерлемелері:</w:t>
            </w:r>
          </w:p>
          <w:p>
            <w:pPr>
              <w:spacing w:after="20"/>
              <w:ind w:left="20"/>
              <w:jc w:val="both"/>
            </w:pPr>
            <w:r>
              <w:rPr>
                <w:rFonts w:ascii="Times New Roman"/>
                <w:b w:val="false"/>
                <w:i w:val="false"/>
                <w:color w:val="000000"/>
                <w:sz w:val="20"/>
              </w:rPr>
              <w:t>
лицензия беру кезінде лицензиялық алым 640 айлық есептік көрсеткішті (бұдан әрі – АЕК) құрайды;</w:t>
            </w:r>
          </w:p>
          <w:p>
            <w:pPr>
              <w:spacing w:after="20"/>
              <w:ind w:left="20"/>
              <w:jc w:val="both"/>
            </w:pPr>
            <w:r>
              <w:rPr>
                <w:rFonts w:ascii="Times New Roman"/>
                <w:b w:val="false"/>
                <w:i w:val="false"/>
                <w:color w:val="000000"/>
                <w:sz w:val="20"/>
              </w:rPr>
              <w:t>
лицензияны қайта ресімдеу үшін лицензиялық алым лицензия беру кезіндегі мөлшерлеменің 10 %-ын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1) осы Қағидалардың 2-қосымшасына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3) халықтың санитариялық-эпидемиологиялық саламаттылығы (эпидемиялық мәні жоғары объектілер үшін – санитариялық-эпидемиологиялық қорытынды алу, эпидемиялық мәні болмашы объектілер үшін –қызметтің басталғаны туралы хабарлама) және өрт қауіпсіздігі салаларындағы рұқсат беру құжаттарының көшірмелерін ұсына отырып, осы Қағидалардың 3-қосымшасына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p>
            <w:pPr>
              <w:spacing w:after="20"/>
              <w:ind w:left="20"/>
              <w:jc w:val="both"/>
            </w:pPr>
            <w:r>
              <w:rPr>
                <w:rFonts w:ascii="Times New Roman"/>
                <w:b w:val="false"/>
                <w:i w:val="false"/>
                <w:color w:val="000000"/>
                <w:sz w:val="20"/>
              </w:rPr>
              <w:t>
4) осы Қағидалардың 4-қосымшасына сәйкес нысан бойынша меншік құқығындағы ойын жабдығы туралы мәліметтер нысаны;</w:t>
            </w:r>
          </w:p>
          <w:p>
            <w:pPr>
              <w:spacing w:after="20"/>
              <w:ind w:left="20"/>
              <w:jc w:val="both"/>
            </w:pPr>
            <w:r>
              <w:rPr>
                <w:rFonts w:ascii="Times New Roman"/>
                <w:b w:val="false"/>
                <w:i w:val="false"/>
                <w:color w:val="000000"/>
                <w:sz w:val="20"/>
              </w:rPr>
              <w:t>
5) осы Қағидалардың 5-қосымшасына сәйкес нысан бойынша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 нысаны;</w:t>
            </w:r>
          </w:p>
          <w:p>
            <w:pPr>
              <w:spacing w:after="20"/>
              <w:ind w:left="20"/>
              <w:jc w:val="both"/>
            </w:pPr>
            <w:r>
              <w:rPr>
                <w:rFonts w:ascii="Times New Roman"/>
                <w:b w:val="false"/>
                <w:i w:val="false"/>
                <w:color w:val="000000"/>
                <w:sz w:val="20"/>
              </w:rPr>
              <w:t>
6) құжаттың электрондық көшірмесі нысанындағы тотализатордың жұмысының, ставкаларды қабылдаудың және өткізілетін құмар ойындарының және (немесе) бәс тігудің қазақ және орыс тілдеріндегі қағидалары;</w:t>
            </w:r>
          </w:p>
          <w:p>
            <w:pPr>
              <w:spacing w:after="20"/>
              <w:ind w:left="20"/>
              <w:jc w:val="both"/>
            </w:pPr>
            <w:r>
              <w:rPr>
                <w:rFonts w:ascii="Times New Roman"/>
                <w:b w:val="false"/>
                <w:i w:val="false"/>
                <w:color w:val="000000"/>
                <w:sz w:val="20"/>
              </w:rPr>
              <w:t>
7)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10000 АЕК мөлшерінде салым ашуға Қазақстан Республикасының аумағындағы екінші деңгейдегі банкпен жасасқан шарт;</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осы Қағидалардың 6-қосымшасына сәйкес көрсетілетін қызметті алушының ЭЦҚ-мен куәландырылған электрондық сұрау салу нысанындағы лицензия алу үшін заңды тұлғаның өтініші;</w:t>
            </w:r>
          </w:p>
          <w:p>
            <w:pPr>
              <w:spacing w:after="20"/>
              <w:ind w:left="20"/>
              <w:jc w:val="both"/>
            </w:pP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p>
          <w:p>
            <w:pPr>
              <w:spacing w:after="20"/>
              <w:ind w:left="20"/>
              <w:jc w:val="both"/>
            </w:pPr>
            <w:r>
              <w:rPr>
                <w:rFonts w:ascii="Times New Roman"/>
                <w:b w:val="false"/>
                <w:i w:val="false"/>
                <w:color w:val="000000"/>
                <w:sz w:val="20"/>
              </w:rPr>
              <w:t xml:space="preserve">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 </w:t>
            </w:r>
          </w:p>
          <w:p>
            <w:pPr>
              <w:spacing w:after="20"/>
              <w:ind w:left="20"/>
              <w:jc w:val="both"/>
            </w:pPr>
            <w:r>
              <w:rPr>
                <w:rFonts w:ascii="Times New Roman"/>
                <w:b w:val="false"/>
                <w:i w:val="false"/>
                <w:color w:val="000000"/>
                <w:sz w:val="20"/>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20"/>
              <w:ind w:left="20"/>
              <w:jc w:val="both"/>
            </w:pP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xml:space="preserve">
3) мемлекеттік көрсетілетін қызметті алушының "Ойын бизнесі туралы" Қазақстан Республикасының Заңының </w:t>
            </w:r>
            <w:r>
              <w:rPr>
                <w:rFonts w:ascii="Times New Roman"/>
                <w:b w:val="false"/>
                <w:i w:val="false"/>
                <w:color w:val="000000"/>
                <w:sz w:val="20"/>
              </w:rPr>
              <w:t>13-бабында</w:t>
            </w:r>
            <w:r>
              <w:rPr>
                <w:rFonts w:ascii="Times New Roman"/>
                <w:b w:val="false"/>
                <w:i w:val="false"/>
                <w:color w:val="000000"/>
                <w:sz w:val="20"/>
              </w:rPr>
              <w:t xml:space="preserve"> белгіленген біліктілік талаптарға сәйкес келмеуі;</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20"/>
              <w:ind w:left="20"/>
              <w:jc w:val="both"/>
            </w:pPr>
            <w:r>
              <w:rPr>
                <w:rFonts w:ascii="Times New Roman"/>
                <w:b w:val="false"/>
                <w:i w:val="false"/>
                <w:color w:val="000000"/>
                <w:sz w:val="20"/>
              </w:rPr>
              <w:t>
7)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xml:space="preserve">
8)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берушінің 8 (7172) 741680 телефоны арқылы, не Бірыңғай байланыс-орталығының: 1414, 8 800 080 7777 телефондары арқылы алуға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