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07f" w14:textId="af14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прокуратура органдарына,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туралы" Қазақстан Республикасы Бас Прокурорының 2015 жылғы 16 сәуірдегі № 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2022 жылғы 20 желтоқсандағы № 245 бұйрығы. Қазақстан Республикасының Әділет министрлігінде 2022 жылғы 27 желтоқсанда № 31285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органдарына,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туралы" Қазақстан Республикасы Бас Прокурорының 2015 жылғы 16 сәуірдегі № 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11236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прокуратурасының органдарына, ведомстволарына және мекемелеріне келісімшарт бойынша әскери қызметке кіру үшін азаматтар ішінен кандидаттарды кәсіби және психологиялық іріктеу бойынша іс-шараларды жүргізу, іріктеу комиссиясының құрылуы мен қызметінің Қағидаларына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әскери прокуратура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Бас әскери прокуратураға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органдарына, ведомстволарына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мекемелеріне келісімшарт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әскери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үшін азаматтар ішінен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 кәсіби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 іріктеу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жүргізу,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құрылуы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қызметінің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Прокуратура органдарына келісімшарт бойынша әскери қызметке кіретін кандидаттарды компьютерлік тестілеуден өткізу бағдарламасы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лауазымдар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Тапсырмалар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офицерлік құрам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заңнамасын білуге тестілеу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сұрақ), Қазақстан Республикасының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Конституциялық заңын (15 сұрақ),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рәсімдік-процестік кодексін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(7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құпиялар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(3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актілер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қорғанысы және Қарулы Күштері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қауіпсіздігі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әскери қызметшілердің мәртебесі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сұрақ) Қазақстан Республикасының заңдарын, Қазақстан Республикасы Президентінің 2007 жылғы 5 шілдедегі № 364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Республикасының Қарулы Күштерінің, басқа да әскерлері мен әскери құралымдарының Тәртіптік Жарғысын (10 сұрақ), Қазақстан Республикасы Президентінің 2015 жылғы 29 желтоқсандағы №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 мемлекеттік қызметшілерінің әдеп кодексін (10 сұрақ) білуге арналған сұрақтарды қамтиды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сұрақ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қатардағы және сержанттық құрам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заңнамасын білуге тестілеу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сұрақ),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рәсімдік-процестік кодексін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құпиялар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сұрақ),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әскери қызметшілердің мәртебесі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сұрақ) Қазақстан Республикасының заңдарын, Қазақстан Республикасы Президентінің 2007 жылғы 5 шілдедегі № 364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 Қарулы Күштерінің, басқа да әскерлері мен әскери құралымдарының Тәртіп Жарғысын (10 сұрақ), Қазақстан Республикасы Президентінің 2015 жылғы 29 желтоқсандағы №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 мемлекеттік қызметшілерінің әдеп кодексін (10 сұрақ) білуге арналған сұрақтарды қамтиды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сұрақ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