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f443" w14:textId="512f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 мәслихатының 2021 жылғы 16 шілдедегі № 66/9-VI "Нұр-Сұлтан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2022 жылғы 30 қыркүйектегі № 242/32-VII шешімі. Қазақстан Республикасының Әділет министрлігінде 2022 жылғы 17 қазанда № 30195 болып тіркелді. Күші жойылды - Астана қаласы мәслихатының 2024 жылғы 29 наурыздағы № 163/20-VIII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29.03.2024 </w:t>
      </w:r>
      <w:r>
        <w:rPr>
          <w:rFonts w:ascii="Times New Roman"/>
          <w:b w:val="false"/>
          <w:i w:val="false"/>
          <w:color w:val="ff0000"/>
          <w:sz w:val="28"/>
        </w:rPr>
        <w:t>№ 163/20-VIII</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шешімімен.</w:t>
      </w:r>
    </w:p>
    <w:bookmarkStart w:name="z1" w:id="0"/>
    <w:p>
      <w:pPr>
        <w:spacing w:after="0"/>
        <w:ind w:left="0"/>
        <w:jc w:val="both"/>
      </w:pPr>
      <w:r>
        <w:rPr>
          <w:rFonts w:ascii="Times New Roman"/>
          <w:b w:val="false"/>
          <w:i w:val="false"/>
          <w:color w:val="000000"/>
          <w:sz w:val="28"/>
        </w:rPr>
        <w:t>
      Астана қаласының мәслихаты ШЕШТІ:</w:t>
      </w:r>
    </w:p>
    <w:bookmarkEnd w:id="0"/>
    <w:bookmarkStart w:name="z2" w:id="1"/>
    <w:p>
      <w:pPr>
        <w:spacing w:after="0"/>
        <w:ind w:left="0"/>
        <w:jc w:val="both"/>
      </w:pPr>
      <w:r>
        <w:rPr>
          <w:rFonts w:ascii="Times New Roman"/>
          <w:b w:val="false"/>
          <w:i w:val="false"/>
          <w:color w:val="000000"/>
          <w:sz w:val="28"/>
        </w:rPr>
        <w:t xml:space="preserve">
      1. Нұр-Сұлтан қаласы мәслихатының "Нұр-Сұлтан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2021 жылғы 16 шілдедегі № 66/9-VI (Нормативтік құқықтық актілерді мемлекеттік тіркеу тізілімінде № 23923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тақырыбын</w:t>
      </w:r>
      <w:r>
        <w:rPr>
          <w:rFonts w:ascii="Times New Roman"/>
          <w:b w:val="false"/>
          <w:i w:val="false"/>
          <w:color w:val="000000"/>
          <w:sz w:val="28"/>
        </w:rPr>
        <w:t xml:space="preserve"> жаңа редакцияда жазылсын: </w:t>
      </w:r>
    </w:p>
    <w:bookmarkEnd w:id="2"/>
    <w:bookmarkStart w:name="z4" w:id="3"/>
    <w:p>
      <w:pPr>
        <w:spacing w:after="0"/>
        <w:ind w:left="0"/>
        <w:jc w:val="both"/>
      </w:pPr>
      <w:r>
        <w:rPr>
          <w:rFonts w:ascii="Times New Roman"/>
          <w:b w:val="false"/>
          <w:i w:val="false"/>
          <w:color w:val="000000"/>
          <w:sz w:val="28"/>
        </w:rPr>
        <w:t>
      "Астана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"Астана қаласында тіркелген Қазақстан Республикасы азаматтарының жекелеген санаттарына амбулаториялық емделу кезінде тегін медициналық көмектің кепілдік берілген көлемін, оның ішінде дәрілік заттарды, бейімделген емдік өнімдерді, медициналық бұйымдарды осы шешімге қосымшаға сәйкес қосымша тегін берсін";</w:t>
      </w:r>
    </w:p>
    <w:bookmarkEnd w:id="4"/>
    <w:bookmarkStart w:name="z7" w:id="5"/>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5"/>
    <w:bookmarkStart w:name="z8" w:id="6"/>
    <w:p>
      <w:pPr>
        <w:spacing w:after="0"/>
        <w:ind w:left="0"/>
        <w:jc w:val="both"/>
      </w:pPr>
      <w:r>
        <w:rPr>
          <w:rFonts w:ascii="Times New Roman"/>
          <w:b w:val="false"/>
          <w:i w:val="false"/>
          <w:color w:val="000000"/>
          <w:sz w:val="28"/>
        </w:rPr>
        <w:t>
      "Астана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тізбесі";</w:t>
      </w:r>
    </w:p>
    <w:bookmarkEnd w:id="6"/>
    <w:bookmarkStart w:name="z9"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242/32-VII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 </w:t>
            </w:r>
            <w:r>
              <w:br/>
            </w:r>
            <w:r>
              <w:rPr>
                <w:rFonts w:ascii="Times New Roman"/>
                <w:b w:val="false"/>
                <w:i w:val="false"/>
                <w:color w:val="000000"/>
                <w:sz w:val="20"/>
              </w:rPr>
              <w:t>мәслихатының</w:t>
            </w:r>
            <w:r>
              <w:br/>
            </w:r>
            <w:r>
              <w:rPr>
                <w:rFonts w:ascii="Times New Roman"/>
                <w:b w:val="false"/>
                <w:i w:val="false"/>
                <w:color w:val="000000"/>
                <w:sz w:val="20"/>
              </w:rPr>
              <w:t>2021 жылғы 16 шілдедегі</w:t>
            </w:r>
            <w:r>
              <w:br/>
            </w:r>
            <w:r>
              <w:rPr>
                <w:rFonts w:ascii="Times New Roman"/>
                <w:b w:val="false"/>
                <w:i w:val="false"/>
                <w:color w:val="000000"/>
                <w:sz w:val="20"/>
              </w:rPr>
              <w:t>№ 66/9-VI шешіміне</w:t>
            </w:r>
            <w:r>
              <w:br/>
            </w:r>
            <w:r>
              <w:rPr>
                <w:rFonts w:ascii="Times New Roman"/>
                <w:b w:val="false"/>
                <w:i w:val="false"/>
                <w:color w:val="000000"/>
                <w:sz w:val="20"/>
              </w:rPr>
              <w:t>қосымша</w:t>
            </w:r>
          </w:p>
        </w:tc>
      </w:tr>
    </w:tbl>
    <w:bookmarkStart w:name="z13" w:id="9"/>
    <w:p>
      <w:pPr>
        <w:spacing w:after="0"/>
        <w:ind w:left="0"/>
        <w:jc w:val="left"/>
      </w:pPr>
      <w:r>
        <w:rPr>
          <w:rFonts w:ascii="Times New Roman"/>
          <w:b/>
          <w:i w:val="false"/>
          <w:color w:val="000000"/>
        </w:rPr>
        <w:t xml:space="preserve"> 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көрсеткіші (дәрежесі, сатысы, ағым ауырлығы)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медициналық бұйымдардың, мамандандырылған емдік өнімдердің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ингаляцияға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 ингаляцияға арналған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емдеуге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 ерітінді дайындауға арналған лиофилизат,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 инфузия үшін концентрат дайындауға арналған ұнтақ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ақауы кезіндегі басқа екіншілікті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ингаляцияға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өкпе гипертензиясы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емдеуге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қабықпен қапталған таблеткалар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Драве синдромы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медуллярлық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Вандетаниб,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Шорбуындаушы спондилит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инъекцияға арналған ұнтақ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 жүйелік нұсқасы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инъекция дайындау үшін ерітінді жасауға арналған концентрат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жақпа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 сыртқа қолдануға арналған спрей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бронхоөкпелік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 дейінгі салмақпен өте шала туған нәрестелер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 инъекция дайындау үшін ерітінді, ерітінді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 (салметерол және флутиказон), ингаляцияларға арналған аэрозоль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(телмисартан)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 (телмисартан және гидрохлортиазид)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экстрагениталды аурулары бар әйелдер, жүктілікке қарсы көрсеткіштері бар әйелдер, бала туу жасындағы барлық әйелдердің әлеуметтік осал топтары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және дроспиренон, таблетка, драже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таблетка, драже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және левоноргестрел, таблетка, драже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Криопиринмен байланысты мерзімді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инъекция дайындау үшін ерітінді дайындауға арналған лиофилизат,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вирустық C гепатиті, бауыр циррозы сатысын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Глекапревир және пибрентасвир,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 T3N0M0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Ленватиниб,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Көпжақты миелома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 инфузияға арналған ерітінді жасауға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Ұлпалық трансг-лютаминазаға қарсы денелері бар, гистология-лық немесе генетикалық расталған,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 (Декспантенол), жақпа майы, крем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Филадельфия хромосомасымен жедел лимфобластикалық лейкоз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миелобластикалық лейкоз, M3 жасушаларының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атопиялық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Дупилумаб,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Сероздық эпителиальды аналық без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склерозы. Құрылымдық фокальды эпилепсия. Эпилептикалық энцефолапатия. Веста синдромы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ұрықтың қанының изосерологиялық үйлесімсіздігі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 иммуноглобулин, инъекция дайындау үшін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 өткізуге қарсы көрсетілімдердің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 ерітінді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Дюшеннің прогрессивті бұлшықет 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фазада дәстүрлі терапияға толық емес жауаппен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Құрысқан мойынқисаюы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үлгідегі ботулиндік упттық кешен, инъекция дайындау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 альфа, инфузия үшін концентрат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ангионеврологиялық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С1-эстераза ингибиторы, инъекция дайындау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қабыну демиелинациялаушы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инфузияға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 жиынтығында еріткіші бар инъекцияға арналған ерітінді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Прогрессивті жұлын бұлшықетінің атрофиясы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 интратекальді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 таблетка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түтікше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катетер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қағал алмастырғыш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гастростоманы интродукциялауға арналған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 типті шприц</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дәрілік затсыз таңғыштар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гигиеналық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жақпа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Таңғышты қорғауға және бекітуге арналған серпімді қолғаптар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 жақпа, крем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имплантациялау, жасанды жүрек пен жүректі трансплантациялау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үлдірлі таңғыш</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экстрагениталды аурулары бар әйелдер, жүктілікке қарсы көрсеткіштері бар әйелдер, бала туу жастағы барлық әйелдердің әлеуметтік осал топтары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спираль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мамандандырылған емдік өнімдер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Ұлпалық трансг-лютаминазаға қарсы денелері бар, гистология-лық немесе генетикалық расталған,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пісіруге арналған глютенсіз қоспа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әмбебап қоспа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макарон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қызанақ соусы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печенье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вафли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кәмпиттер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түтікше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алмасуының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тізбекті триглицеридтердің төмен қоспасы және орташа тізбекті триглициридтердің жоғары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церебральді салдану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Псевдобульбар синдромы бар гастростома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негізіндегі құрғақ қоспа</w:t>
            </w:r>
          </w:p>
        </w:tc>
      </w:tr>
    </w:tbl>
    <w:p>
      <w:pPr>
        <w:spacing w:after="0"/>
        <w:ind w:left="0"/>
        <w:jc w:val="both"/>
      </w:pPr>
      <w:r>
        <w:rPr>
          <w:rFonts w:ascii="Times New Roman"/>
          <w:b w:val="false"/>
          <w:i w:val="false"/>
          <w:color w:val="000000"/>
          <w:sz w:val="28"/>
        </w:rPr>
        <w:t>
      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