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4de5" w14:textId="2874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Есіл ауданы әкімдігінің 2022 жылғы 30 мамырдағы № а-5/108 қаулысы. Қазақстан Республикасының Әділет министрлігінде 2022 жылғы 6 маусымда № 28381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Есіл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Есіл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"Ақмола облысы Есіл ауданының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ресми жарияланғанынан кейін Есіл ауданы әкімдігінің интернет - 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Есіл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2022 жылғы 30 мамырдағы</w:t>
            </w:r>
            <w:r>
              <w:br/>
            </w:r>
            <w:r>
              <w:rPr>
                <w:rFonts w:ascii="Times New Roman"/>
                <w:b w:val="false"/>
                <w:i w:val="false"/>
                <w:color w:val="000000"/>
                <w:sz w:val="20"/>
              </w:rPr>
              <w:t>№ а-5/108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Есіл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Есіл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Есіл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Есіл ауданы әкімдігінің 07.03.2024 </w:t>
      </w:r>
      <w:r>
        <w:rPr>
          <w:rFonts w:ascii="Times New Roman"/>
          <w:b w:val="false"/>
          <w:i w:val="false"/>
          <w:color w:val="000000"/>
          <w:sz w:val="28"/>
        </w:rPr>
        <w:t>№ а-3/52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7"/>
    <w:p>
      <w:pPr>
        <w:spacing w:after="0"/>
        <w:ind w:left="0"/>
        <w:jc w:val="both"/>
      </w:pPr>
      <w:r>
        <w:rPr>
          <w:rFonts w:ascii="Times New Roman"/>
          <w:b w:val="false"/>
          <w:i w:val="false"/>
          <w:color w:val="000000"/>
          <w:sz w:val="28"/>
        </w:rPr>
        <w:t>
      3. "Ақмола облысы Есіл ауданының тұрғын үй-коммуналдық шаруашылық,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"Есіл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Есіл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Есіл ауданы әкімдігінің 07.03.2024 </w:t>
      </w:r>
      <w:r>
        <w:rPr>
          <w:rFonts w:ascii="Times New Roman"/>
          <w:b w:val="false"/>
          <w:i w:val="false"/>
          <w:color w:val="000000"/>
          <w:sz w:val="28"/>
        </w:rPr>
        <w:t>№ а-3/52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Start w:name="z10" w:id="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Start w:name="z11" w:id="9"/>
    <w:p>
      <w:pPr>
        <w:spacing w:after="0"/>
        <w:ind w:left="0"/>
        <w:jc w:val="left"/>
      </w:pPr>
      <w:r>
        <w:rPr>
          <w:rFonts w:ascii="Times New Roman"/>
          <w:b/>
          <w:i w:val="false"/>
          <w:color w:val="000000"/>
        </w:rPr>
        <w:t xml:space="preserve"> 4-тарау. Қорытынды ереже</w:t>
      </w:r>
    </w:p>
    <w:bookmarkEnd w:id="9"/>
    <w:p>
      <w:pPr>
        <w:spacing w:after="0"/>
        <w:ind w:left="0"/>
        <w:jc w:val="both"/>
      </w:pPr>
      <w:r>
        <w:rPr>
          <w:rFonts w:ascii="Times New Roman"/>
          <w:b w:val="false"/>
          <w:i w:val="false"/>
          <w:color w:val="000000"/>
          <w:sz w:val="28"/>
        </w:rPr>
        <w:t>
      14. Есіл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