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9d5b2" w14:textId="359d5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2017 жылғы 28 тамыздағы № 2/18 "Қорғалжын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шешіміне өзгерістер мен толықтыру енгізу туралы</w:t>
      </w:r>
    </w:p>
    <w:p>
      <w:pPr>
        <w:spacing w:after="0"/>
        <w:ind w:left="0"/>
        <w:jc w:val="both"/>
      </w:pPr>
      <w:r>
        <w:rPr>
          <w:rFonts w:ascii="Times New Roman"/>
          <w:b w:val="false"/>
          <w:i w:val="false"/>
          <w:color w:val="000000"/>
          <w:sz w:val="28"/>
        </w:rPr>
        <w:t>Ақмола облысы Қорғалжын аудандық мәслихатының 2022 жылғы 16 қыркүйектегі № 2/23 шешімі. Қазақстан Республикасының Әділет министрлігінде 2022 жылғы 20 қыркүйекте № 29692 болып тіркелді</w:t>
      </w:r>
    </w:p>
    <w:p>
      <w:pPr>
        <w:spacing w:after="0"/>
        <w:ind w:left="0"/>
        <w:jc w:val="both"/>
      </w:pPr>
      <w:bookmarkStart w:name="z1" w:id="0"/>
      <w:r>
        <w:rPr>
          <w:rFonts w:ascii="Times New Roman"/>
          <w:b w:val="false"/>
          <w:i w:val="false"/>
          <w:color w:val="000000"/>
          <w:sz w:val="28"/>
        </w:rPr>
        <w:t>
      Қорғалжын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Қорғалжын аудандық мәслихатының "Қорғалжын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2017 жылғы 28 тамыздағы № 2/18 (Нормативтік құқықтық актілерді мемлекеттік тіркеу тізілімінде № 6085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"Қорғалжын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""Кемтар балаларды әлеуметтік және медициналық-педагогикалық түзеу арқылы қолдау туралы" Қазақстан Республикасы Заңының 16-бабына, "Қазақстан Республикасында мүгедектігі бар адамдарды әлеуметтік қорғау туралы" Қазақстан Республикасы Заңының 11-бабына сәйкес, Қорғалжын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Қорғалжын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Start w:name="z7" w:id="3"/>
    <w:p>
      <w:pPr>
        <w:spacing w:after="0"/>
        <w:ind w:left="0"/>
        <w:jc w:val="both"/>
      </w:pPr>
      <w:r>
        <w:rPr>
          <w:rFonts w:ascii="Times New Roman"/>
          <w:b w:val="false"/>
          <w:i w:val="false"/>
          <w:color w:val="000000"/>
          <w:sz w:val="28"/>
        </w:rPr>
        <w:t xml:space="preserve">
      көрсетілген шешім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w:t>
      </w:r>
      <w:r>
        <w:rPr>
          <w:rFonts w:ascii="Times New Roman"/>
          <w:b w:val="false"/>
          <w:i w:val="false"/>
          <w:color w:val="000000"/>
          <w:sz w:val="28"/>
        </w:rPr>
        <w:t>қосымшамен</w:t>
      </w:r>
      <w:r>
        <w:rPr>
          <w:rFonts w:ascii="Times New Roman"/>
          <w:b w:val="false"/>
          <w:i w:val="false"/>
          <w:color w:val="000000"/>
          <w:sz w:val="28"/>
        </w:rPr>
        <w:t xml:space="preserve"> толықтырылсын.</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Б.Рыспаев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2022 жылғы 16 қыркүйектегі</w:t>
            </w:r>
            <w:r>
              <w:br/>
            </w:r>
            <w:r>
              <w:rPr>
                <w:rFonts w:ascii="Times New Roman"/>
                <w:b w:val="false"/>
                <w:i w:val="false"/>
                <w:color w:val="000000"/>
                <w:sz w:val="20"/>
              </w:rPr>
              <w:t>№ 2/23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2017 жылғы 28 тамыздағы</w:t>
            </w:r>
            <w:r>
              <w:br/>
            </w:r>
            <w:r>
              <w:rPr>
                <w:rFonts w:ascii="Times New Roman"/>
                <w:b w:val="false"/>
                <w:i w:val="false"/>
                <w:color w:val="000000"/>
                <w:sz w:val="20"/>
              </w:rPr>
              <w:t>№ 2/18 шешіміне</w:t>
            </w:r>
            <w:r>
              <w:br/>
            </w:r>
            <w:r>
              <w:rPr>
                <w:rFonts w:ascii="Times New Roman"/>
                <w:b w:val="false"/>
                <w:i w:val="false"/>
                <w:color w:val="000000"/>
                <w:sz w:val="20"/>
              </w:rPr>
              <w:t>қосымша</w:t>
            </w:r>
          </w:p>
        </w:tc>
      </w:tr>
    </w:tbl>
    <w:bookmarkStart w:name="z10" w:id="5"/>
    <w:p>
      <w:pPr>
        <w:spacing w:after="0"/>
        <w:ind w:left="0"/>
        <w:jc w:val="left"/>
      </w:pPr>
      <w:r>
        <w:rPr>
          <w:rFonts w:ascii="Times New Roman"/>
          <w:b/>
          <w:i w:val="false"/>
          <w:color w:val="000000"/>
        </w:rPr>
        <w:t xml:space="preserve"> Қорғалжын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5"/>
    <w:bookmarkStart w:name="z11" w:id="6"/>
    <w:p>
      <w:pPr>
        <w:spacing w:after="0"/>
        <w:ind w:left="0"/>
        <w:jc w:val="both"/>
      </w:pPr>
      <w:r>
        <w:rPr>
          <w:rFonts w:ascii="Times New Roman"/>
          <w:b w:val="false"/>
          <w:i w:val="false"/>
          <w:color w:val="000000"/>
          <w:sz w:val="28"/>
        </w:rPr>
        <w:t>
      1. Осы Қорғалжын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(Нормативтік құқықтық актілерді мемлекеттік тіркеу тізілімінде № 22394 болып тіркелген) "Мүгедек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6"/>
    <w:bookmarkStart w:name="z12" w:id="7"/>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алуды (бұдан әрі – оқытуға жұмсаған шығындарын өндіріп алу) Қорғалжын ауданының "Жұмыспен қамту және әлеуметтік бағдарламалар бөлімі" мемлекеттік мекемесі мүгедек баланың үйде оқу фактісін растайтын оқу орнының анықтамасы негізінде жүргізеді.</w:t>
      </w:r>
    </w:p>
    <w:bookmarkEnd w:id="7"/>
    <w:bookmarkStart w:name="z13" w:id="8"/>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8"/>
    <w:bookmarkStart w:name="z14" w:id="9"/>
    <w:p>
      <w:pPr>
        <w:spacing w:after="0"/>
        <w:ind w:left="0"/>
        <w:jc w:val="both"/>
      </w:pPr>
      <w:r>
        <w:rPr>
          <w:rFonts w:ascii="Times New Roman"/>
          <w:b w:val="false"/>
          <w:i w:val="false"/>
          <w:color w:val="000000"/>
          <w:sz w:val="28"/>
        </w:rPr>
        <w:t>
      4. Оқытуға жұмсаған шығындарын өндіріп алу психологиялық-медициналық-педагогикалық консультацияның қорытындысында белгіленген мерзім аяқталғанға дейін өтініш берген айдан бастап жүргізіледі.</w:t>
      </w:r>
    </w:p>
    <w:bookmarkEnd w:id="9"/>
    <w:bookmarkStart w:name="z15" w:id="10"/>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туындағанда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0"/>
    <w:bookmarkStart w:name="z16" w:id="11"/>
    <w:p>
      <w:pPr>
        <w:spacing w:after="0"/>
        <w:ind w:left="0"/>
        <w:jc w:val="both"/>
      </w:pPr>
      <w:r>
        <w:rPr>
          <w:rFonts w:ascii="Times New Roman"/>
          <w:b w:val="false"/>
          <w:i w:val="false"/>
          <w:color w:val="000000"/>
          <w:sz w:val="28"/>
        </w:rPr>
        <w:t>
      6. Оқытуға жұмсаған шығындарын өндіріп алу үшін қажетті құжаттардың тізбесі Шығындарды өтеу қағидаларының 3-қосымшасына сәйкес ұсынылады, бұл ретте жеке басын сәйкестендіру үшін жеке басын куәландыратын құжаттың орнына қандастармен қандас куәлігі ұсынылады.</w:t>
      </w:r>
    </w:p>
    <w:bookmarkEnd w:id="11"/>
    <w:bookmarkStart w:name="z17" w:id="12"/>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жұмсалған шығындарды өндіріп алу мөлшері ай сайын оқу жылына мүгедектігі бар әрбір балаға үш айлық есептік көрсеткішке тең.</w:t>
      </w:r>
    </w:p>
    <w:bookmarkEnd w:id="12"/>
    <w:bookmarkStart w:name="z18" w:id="13"/>
    <w:p>
      <w:pPr>
        <w:spacing w:after="0"/>
        <w:ind w:left="0"/>
        <w:jc w:val="both"/>
      </w:pPr>
      <w:r>
        <w:rPr>
          <w:rFonts w:ascii="Times New Roman"/>
          <w:b w:val="false"/>
          <w:i w:val="false"/>
          <w:color w:val="000000"/>
          <w:sz w:val="28"/>
        </w:rPr>
        <w:t>
      8. Оқытуға жұмсалған шығындарды өтеуден бас тарту үшін негіздер Шығындарды өтеу қағидаларына 3-қосымшаның тоғызыншы жолында көзделген.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