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8649" w14:textId="0cb8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әкімі аппаратының лауазымды адамдарының жеке тұлғаларды және заңды тұлғалардың өкілдерін жеке қабылдауының регламентін бекіту туралы" Шымкент қаласы әкімдігінің 2020 жылғы 28 желтоқсандағы № 818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 тамыздағы № 1418 қаулысы. Қазақстан Республикасының Әділет министрлігінде 2022 жылғы 1 тамызда № 28975 болып тіркелді. Күші жойылды - Шымкент қаласы әкімдігінің 2024 жылғы 2 мамырдағы № 1994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Шымкент қаласы әкімдігінің 02.05.2024 № 1994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 әкімі аппаратының лауазымды адамдарының жеке тұлғаларды және заңды тұлғалардың өкілдерін жеке қабылдауының регламентін бекіту туралы" Шымкент қаласы әкімдігінің 2020 жылғы 28 желтоқсандағы № 818 (Нормативтік құқықтық актілерді мемлекеттік тіркеу тізілімінде № 152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 әкімі аппаратының лауазымды адамдарының жеке тұлғаларды және заңды тұлғалардың өкілдерін жеке қабылдауының регламенті осы қаулының қосымшасына сәйкес бекiтiлсiн.";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қосымшасымен бекітілген Шымкент қаласы әкімі аппаратының лауазымды адамдарының жеке тұлғаларды және заңды тұлғалардың өкілдерін жеке қабылдауының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Шымкент қаласы әкімі аппаратының лауазымды адамдарының жеке тұлғаларды және заңды тұлғалардың өкілдерін жеке қабылдауының регламенті (бұдан әрі – Регламент)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Президенті мен Үкіметінің актілеріне, өзге де нормативтік құқықтық актілерге сәйкес әзірленді және Шымкент қаласы әкімі аппаратының лауазымды адамдарының жеке тұлғаларды және заңды тұлғалардың өкілдерін жеке қабылдау тәртібін регламенттейді.";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Орталық мемлекеттік орган өкілдерінің қабылдауға қатысуы бойынша сұрау салу жіберілгеннен кейін арыз беруші 2 (екі) жұмыс күні ішінде жіберілген сұрау салу туралы және қабылдауға жазылуы туралы өтінішті қараудың ұзартылғаны туралы хабардар етіледі.";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Бөлімнің жауапты қызметкері өтініш тіркелген кезден бастап күнтізбелік 15 (он бес) күннен кешіктірмей арыз берушіге қабылдау уақыты мен күні немесе қабылдаудан дәлелді бас тарту көрсетілген жауапты жолдайды.".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