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592" w14:textId="3f7e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2022 жылғы 15 қарашадағы № 98 қаулысы. Қазақстан Республикасының Әділет министрлігінде 2022 жылы 21 қарашада № 30639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дене шынықтыру және спорт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облыс әкімдігінің интернет-ресурсында орналастырылуын.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15 қарашадағы №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әкімдігінің 20.03.2024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түрлері, спорттың ойын түрлері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жіктелуі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Клубтық командалардың жетекшілері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және қысқы 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чемпионаты, ересектер арасында Қазақстан Республикасының Спартакиадасы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Қазақстан Республикасының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Көшпенділер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 және Сурдлимпиада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және қысқы Сурдлимпиада және Паралимпиада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Паралимпиада және Сурдлимпиада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чемпионаты, ересектер арасында Қазақстан Республикасының Спартакиадасы, Қазақстан Республикасының Параолимпиада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