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381" w14:textId="14c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10 қаңтардағы № 42/460 "Салық салу мақсаты үшін жер салығының мөлшерлемелері азайтылған немесе арттырылған Қарағанды облысы Абай қаласының аумағын аймақтарға бөлу сызбасын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2022 жылғы 17 ақпандағы № 18/172 шешімі. Қазақстан Республикасының Әділет министрлігінде 2022 жылғы 24 ақпанда № 26913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10 қаңтардағы № 42/460 "Салық салу мақсаты үшін жер салығының мөлшерлемелері азайтылған немесе арттырылған Қарағанды облысы Абай қаласының аумағын аймақтарға бөлу сызбасын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"Қарағанды облысы Абай қаласының аумағында салық салу мақсатында жер салығының мөлшерлемелерін арттыру немесе азайту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Автотұрақтарға (паркингтерге), автожанармай құю станцияларына сондай-ақ тиісті мақсаттарда пайдаланылмайтын немесе Қазақстан Республикасының заңнамасы бұзыла отырып пайдаланылатын бөлінген жерлерді қоспағанда,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Қарағанды облысы Абай қаласының аумағында салық салу мақсатында арттырылған немесе азайтылған жер салығының мөлшерлері осы шешімнің қосымшасына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бұрыштағы сілтеме жаңа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42/460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қосымша".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