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9f60" w14:textId="8079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2020 жылғы 28 тамыздағы № 37/446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2022 жылғы 29 наурыздағы № 9/112 шешімі. Қазақстан Республикасының Әділет министрлігінде 2022 жылғы 11 сәуірде № 27510 болып тіркелді</w:t>
      </w:r>
    </w:p>
    <w:p>
      <w:pPr>
        <w:spacing w:after="0"/>
        <w:ind w:left="0"/>
        <w:jc w:val="both"/>
      </w:pPr>
      <w:bookmarkStart w:name="z0" w:id="0"/>
      <w:r>
        <w:rPr>
          <w:rFonts w:ascii="Times New Roman"/>
          <w:b w:val="false"/>
          <w:i w:val="false"/>
          <w:color w:val="000000"/>
          <w:sz w:val="28"/>
        </w:rPr>
        <w:t xml:space="preserve">
      Маңғыстау облыстық мәслихаты ШЕШТІ: </w:t>
      </w:r>
    </w:p>
    <w:bookmarkEnd w:id="0"/>
    <w:bookmarkStart w:name="z1" w:id="1"/>
    <w:p>
      <w:pPr>
        <w:spacing w:after="0"/>
        <w:ind w:left="0"/>
        <w:jc w:val="both"/>
      </w:pPr>
      <w:r>
        <w:rPr>
          <w:rFonts w:ascii="Times New Roman"/>
          <w:b w:val="false"/>
          <w:i w:val="false"/>
          <w:color w:val="000000"/>
          <w:sz w:val="28"/>
        </w:rPr>
        <w:t xml:space="preserve">
      1. Маңғыстау облыстық мәслихатының 2020 жылғы 28 тамыздағы </w:t>
      </w:r>
      <w:r>
        <w:rPr>
          <w:rFonts w:ascii="Times New Roman"/>
          <w:b w:val="false"/>
          <w:i w:val="false"/>
          <w:color w:val="000000"/>
          <w:sz w:val="28"/>
        </w:rPr>
        <w:t>№ 37/446</w:t>
      </w:r>
      <w:r>
        <w:rPr>
          <w:rFonts w:ascii="Times New Roman"/>
          <w:b w:val="false"/>
          <w:i w:val="false"/>
          <w:color w:val="000000"/>
          <w:sz w:val="28"/>
        </w:rPr>
        <w:t xml:space="preserve">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(нормативтік құқықтық актілерді мемлекеттік тіркеу Тізілімінде № 4278 болып тіркелген)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4"/>
    <w:p>
      <w:pPr>
        <w:spacing w:after="0"/>
        <w:ind w:left="0"/>
        <w:jc w:val="both"/>
      </w:pPr>
      <w:r>
        <w:rPr>
          <w:rFonts w:ascii="Times New Roman"/>
          <w:b w:val="false"/>
          <w:i w:val="false"/>
          <w:color w:val="000000"/>
          <w:sz w:val="28"/>
        </w:rPr>
        <w:t>
      "1. Осы шешімнің 1-қосымшасына сәйкес азаматтардың жекелеген санаттарына амбулаториялық емдеу кезінде тегін медициналық көмектің кепілдік берілген көлемін, оның ішінде дәрілік заттарды, мамандандырылған емдік өнімдерді, медициналық бұйымдарды қосымша тегін берілсін".</w:t>
      </w:r>
    </w:p>
    <w:bookmarkEnd w:id="4"/>
    <w:bookmarkStart w:name="z6" w:id="5"/>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28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7"/>
    <w:p>
      <w:pPr>
        <w:spacing w:after="0"/>
        <w:ind w:left="0"/>
        <w:jc w:val="left"/>
      </w:pPr>
      <w:r>
        <w:rPr>
          <w:rFonts w:ascii="Times New Roman"/>
          <w:b/>
          <w:i w:val="false"/>
          <w:color w:val="000000"/>
        </w:rPr>
        <w:t xml:space="preserve"> Маңғыстау облысында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мамандандырылған емдік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Мультифокалдық, краниалдық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 бұлшықет ішіне және тер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жүкті әйелдер және босанғаннан кейінгі кезеңде босанған әйелдер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жүйелік аурулары, неврологиялық аурулар, Девик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 сульфотиазолы бар крем,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 ингаляцияға арналған ерітінді/дозаланған ингаляцияға арналған аэрозоль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жеткіліксіздігі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ауысу</w:t>
            </w:r>
          </w:p>
          <w:p>
            <w:pPr>
              <w:spacing w:after="20"/>
              <w:ind w:left="20"/>
              <w:jc w:val="both"/>
            </w:pPr>
            <w:r>
              <w:rPr>
                <w:rFonts w:ascii="Times New Roman"/>
                <w:b w:val="false"/>
                <w:i w:val="false"/>
                <w:color w:val="000000"/>
                <w:sz w:val="20"/>
              </w:rPr>
              <w:t>
сатысына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кетоаналистері, таблеткалар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w:t>
            </w:r>
          </w:p>
          <w:p>
            <w:pPr>
              <w:spacing w:after="20"/>
              <w:ind w:left="20"/>
              <w:jc w:val="both"/>
            </w:pPr>
            <w:r>
              <w:rPr>
                <w:rFonts w:ascii="Times New Roman"/>
                <w:b w:val="false"/>
                <w:i w:val="false"/>
                <w:color w:val="000000"/>
                <w:sz w:val="20"/>
              </w:rPr>
              <w:t>
толық жауап</w:t>
            </w:r>
          </w:p>
          <w:p>
            <w:pPr>
              <w:spacing w:after="20"/>
              <w:ind w:left="20"/>
              <w:jc w:val="both"/>
            </w:pPr>
            <w:r>
              <w:rPr>
                <w:rFonts w:ascii="Times New Roman"/>
                <w:b w:val="false"/>
                <w:i w:val="false"/>
                <w:color w:val="000000"/>
                <w:sz w:val="20"/>
              </w:rPr>
              <w:t xml:space="preserve">
бермейтін </w:t>
            </w:r>
          </w:p>
          <w:p>
            <w:pPr>
              <w:spacing w:after="20"/>
              <w:ind w:left="20"/>
              <w:jc w:val="both"/>
            </w:pPr>
            <w:r>
              <w:rPr>
                <w:rFonts w:ascii="Times New Roman"/>
                <w:b w:val="false"/>
                <w:i w:val="false"/>
                <w:color w:val="000000"/>
                <w:sz w:val="20"/>
              </w:rPr>
              <w:t>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w:t>
            </w:r>
          </w:p>
          <w:p>
            <w:pPr>
              <w:spacing w:after="20"/>
              <w:ind w:left="20"/>
              <w:jc w:val="both"/>
            </w:pPr>
            <w:r>
              <w:rPr>
                <w:rFonts w:ascii="Times New Roman"/>
                <w:b w:val="false"/>
                <w:i w:val="false"/>
                <w:color w:val="000000"/>
                <w:sz w:val="20"/>
              </w:rPr>
              <w:t>
толық жауап</w:t>
            </w:r>
          </w:p>
          <w:p>
            <w:pPr>
              <w:spacing w:after="20"/>
              <w:ind w:left="20"/>
              <w:jc w:val="both"/>
            </w:pPr>
            <w:r>
              <w:rPr>
                <w:rFonts w:ascii="Times New Roman"/>
                <w:b w:val="false"/>
                <w:i w:val="false"/>
                <w:color w:val="000000"/>
                <w:sz w:val="20"/>
              </w:rPr>
              <w:t xml:space="preserve">
бермейтін </w:t>
            </w:r>
          </w:p>
          <w:p>
            <w:pPr>
              <w:spacing w:after="20"/>
              <w:ind w:left="20"/>
              <w:jc w:val="both"/>
            </w:pPr>
            <w:r>
              <w:rPr>
                <w:rFonts w:ascii="Times New Roman"/>
                <w:b w:val="false"/>
                <w:i w:val="false"/>
                <w:color w:val="000000"/>
                <w:sz w:val="20"/>
              </w:rPr>
              <w:t>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азаматтардың барлық санаттары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w:t>
            </w:r>
          </w:p>
          <w:p>
            <w:pPr>
              <w:spacing w:after="20"/>
              <w:ind w:left="20"/>
              <w:jc w:val="both"/>
            </w:pPr>
            <w:r>
              <w:rPr>
                <w:rFonts w:ascii="Times New Roman"/>
                <w:b w:val="false"/>
                <w:i w:val="false"/>
                <w:color w:val="000000"/>
                <w:sz w:val="20"/>
              </w:rPr>
              <w:t xml:space="preserve">
тұрған азаматтардың </w:t>
            </w:r>
          </w:p>
          <w:p>
            <w:pPr>
              <w:spacing w:after="20"/>
              <w:ind w:left="20"/>
              <w:jc w:val="both"/>
            </w:pPr>
            <w:r>
              <w:rPr>
                <w:rFonts w:ascii="Times New Roman"/>
                <w:b w:val="false"/>
                <w:i w:val="false"/>
                <w:color w:val="000000"/>
                <w:sz w:val="20"/>
              </w:rPr>
              <w:t>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басқарылатын аспирациялық катетер (қақырықтан тазарту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түтігі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Трахеостоманы бекіту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түтіктің астына салуға арналған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клапандары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қолданатын Жанне шприцтері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түтігі (баланы тамақтандыру үшін) F-16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Трахеостомаға арналған бітегіш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Глютенсыз арнайы 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Кистозды фиброз </w:t>
            </w:r>
          </w:p>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