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9f60" w14:textId="8079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2020 жылғы 28 тамыздағы № 37/446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2022 жылғы 29 наурыздағы № 9/112 шешімі. Қазақстан Республикасының Әділет министрлігінде 2022 жылғы 11 сәуірде № 27510 болып тіркелді</w:t>
      </w:r>
    </w:p>
    <w:p>
      <w:pPr>
        <w:spacing w:after="0"/>
        <w:ind w:left="0"/>
        <w:jc w:val="both"/>
      </w:pPr>
      <w:bookmarkStart w:name="z0" w:id="0"/>
      <w:r>
        <w:rPr>
          <w:rFonts w:ascii="Times New Roman"/>
          <w:b w:val="false"/>
          <w:i w:val="false"/>
          <w:color w:val="000000"/>
          <w:sz w:val="28"/>
        </w:rPr>
        <w:t xml:space="preserve">
      Маңғыстау облыстық мәслихаты ШЕШТІ: </w:t>
      </w:r>
    </w:p>
    <w:bookmarkEnd w:id="0"/>
    <w:bookmarkStart w:name="z1" w:id="1"/>
    <w:p>
      <w:pPr>
        <w:spacing w:after="0"/>
        <w:ind w:left="0"/>
        <w:jc w:val="both"/>
      </w:pPr>
      <w:r>
        <w:rPr>
          <w:rFonts w:ascii="Times New Roman"/>
          <w:b w:val="false"/>
          <w:i w:val="false"/>
          <w:color w:val="000000"/>
          <w:sz w:val="28"/>
        </w:rPr>
        <w:t xml:space="preserve">
      1. Маңғыстау облыстық мәслихатының 2020 жылғы 28 тамыздағы </w:t>
      </w:r>
      <w:r>
        <w:rPr>
          <w:rFonts w:ascii="Times New Roman"/>
          <w:b w:val="false"/>
          <w:i w:val="false"/>
          <w:color w:val="000000"/>
          <w:sz w:val="28"/>
        </w:rPr>
        <w:t>№ 37/446</w:t>
      </w:r>
      <w:r>
        <w:rPr>
          <w:rFonts w:ascii="Times New Roman"/>
          <w:b w:val="false"/>
          <w:i w:val="false"/>
          <w:color w:val="000000"/>
          <w:sz w:val="28"/>
        </w:rPr>
        <w:t xml:space="preserve">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(нормативтік құқықтық актілерді мемлекеттік тіркеу Тізілімінде № 4278 болып тіркелген)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3" w:id="3"/>
    <w:p>
      <w:pPr>
        <w:spacing w:after="0"/>
        <w:ind w:left="0"/>
        <w:jc w:val="both"/>
      </w:pPr>
      <w:r>
        <w:rPr>
          <w:rFonts w:ascii="Times New Roman"/>
          <w:b w:val="false"/>
          <w:i w:val="false"/>
          <w:color w:val="000000"/>
          <w:sz w:val="28"/>
        </w:rPr>
        <w:t>
      "Маңғыстау облысының аумағында тұрақты тұратын Қазақстан Республикасы азаматтарының жекелеген санаттарына тегін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беру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"1. Осы шешімнің 1-қосымшасына сәйкес азаматтардың жекелеген санаттарына амбулаториялық емдеу кезінде тегін медициналық көмектің кепілдік берілген көлемін, оның ішінде дәрілік заттарды, мамандандырылған емдік өнімдерді, медициналық бұйымдарды қосымша тегін берілсін".</w:t>
      </w:r>
    </w:p>
    <w:bookmarkEnd w:id="4"/>
    <w:bookmarkStart w:name="z6" w:id="5"/>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28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37/446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7"/>
    <w:p>
      <w:pPr>
        <w:spacing w:after="0"/>
        <w:ind w:left="0"/>
        <w:jc w:val="left"/>
      </w:pPr>
      <w:r>
        <w:rPr>
          <w:rFonts w:ascii="Times New Roman"/>
          <w:b/>
          <w:i w:val="false"/>
          <w:color w:val="000000"/>
        </w:rPr>
        <w:t xml:space="preserve"> Маңғыстау облысында тіркелген Қазақстан Республикасы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бейімделген емдік өнімдерді, медициналық бұйымдарды қосымша тегін беру туралы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көрсеткіші (дәрежесі, сатысы, ағым ауырлығы)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(шығару нысаны), мамандандырылған емдік өнімдердің және медициналық бұйымдардың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Мультифокалдық, краниалдық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упттық кешен, бұлшықет ішіне және тер астына енгізу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артрит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Тромбофилия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есепте тұрған жүкті әйелдер және босанғаннан кейінгі кезеңде босанған әйелдер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жүйелік аурулары, неврологиялық аурулар, Девик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күміс сульфотиазолы бар крем, сыртқа қолдануға арналған крем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5%, сыртқа қолдануға арналған крем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5%, сыртқа қолдануға арналған жақпамай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 созылмалы канюльтасығыш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ингаляцияға арналған дозаланған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 ингаляцияға арналған ерітінді/дозаланған ингаляцияға арналған аэрозоль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жеткіліксіздігі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ауысу</w:t>
            </w:r>
          </w:p>
          <w:p>
            <w:pPr>
              <w:spacing w:after="20"/>
              <w:ind w:left="20"/>
              <w:jc w:val="both"/>
            </w:pPr>
            <w:r>
              <w:rPr>
                <w:rFonts w:ascii="Times New Roman"/>
                <w:b w:val="false"/>
                <w:i w:val="false"/>
                <w:color w:val="000000"/>
                <w:sz w:val="20"/>
              </w:rPr>
              <w:t>
сатысына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қышқылдарының кетоаналистері, таблеткалар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w:t>
            </w:r>
          </w:p>
          <w:p>
            <w:pPr>
              <w:spacing w:after="20"/>
              <w:ind w:left="20"/>
              <w:jc w:val="both"/>
            </w:pPr>
            <w:r>
              <w:rPr>
                <w:rFonts w:ascii="Times New Roman"/>
                <w:b w:val="false"/>
                <w:i w:val="false"/>
                <w:color w:val="000000"/>
                <w:sz w:val="20"/>
              </w:rPr>
              <w:t>
толық жауап</w:t>
            </w:r>
          </w:p>
          <w:p>
            <w:pPr>
              <w:spacing w:after="20"/>
              <w:ind w:left="20"/>
              <w:jc w:val="both"/>
            </w:pPr>
            <w:r>
              <w:rPr>
                <w:rFonts w:ascii="Times New Roman"/>
                <w:b w:val="false"/>
                <w:i w:val="false"/>
                <w:color w:val="000000"/>
                <w:sz w:val="20"/>
              </w:rPr>
              <w:t xml:space="preserve">
бермейтін </w:t>
            </w:r>
          </w:p>
          <w:p>
            <w:pPr>
              <w:spacing w:after="20"/>
              <w:ind w:left="20"/>
              <w:jc w:val="both"/>
            </w:pPr>
            <w:r>
              <w:rPr>
                <w:rFonts w:ascii="Times New Roman"/>
                <w:b w:val="false"/>
                <w:i w:val="false"/>
                <w:color w:val="000000"/>
                <w:sz w:val="20"/>
              </w:rPr>
              <w:t>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 бұлшықет 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терапияға</w:t>
            </w:r>
          </w:p>
          <w:p>
            <w:pPr>
              <w:spacing w:after="20"/>
              <w:ind w:left="20"/>
              <w:jc w:val="both"/>
            </w:pPr>
            <w:r>
              <w:rPr>
                <w:rFonts w:ascii="Times New Roman"/>
                <w:b w:val="false"/>
                <w:i w:val="false"/>
                <w:color w:val="000000"/>
                <w:sz w:val="20"/>
              </w:rPr>
              <w:t>
толық жауап</w:t>
            </w:r>
          </w:p>
          <w:p>
            <w:pPr>
              <w:spacing w:after="20"/>
              <w:ind w:left="20"/>
              <w:jc w:val="both"/>
            </w:pPr>
            <w:r>
              <w:rPr>
                <w:rFonts w:ascii="Times New Roman"/>
                <w:b w:val="false"/>
                <w:i w:val="false"/>
                <w:color w:val="000000"/>
                <w:sz w:val="20"/>
              </w:rPr>
              <w:t xml:space="preserve">
бермейтін </w:t>
            </w:r>
          </w:p>
          <w:p>
            <w:pPr>
              <w:spacing w:after="20"/>
              <w:ind w:left="20"/>
              <w:jc w:val="both"/>
            </w:pPr>
            <w:r>
              <w:rPr>
                <w:rFonts w:ascii="Times New Roman"/>
                <w:b w:val="false"/>
                <w:i w:val="false"/>
                <w:color w:val="000000"/>
                <w:sz w:val="20"/>
              </w:rPr>
              <w:t>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w:t>
            </w:r>
          </w:p>
          <w:p>
            <w:pPr>
              <w:spacing w:after="20"/>
              <w:ind w:left="20"/>
              <w:jc w:val="both"/>
            </w:pPr>
            <w:r>
              <w:rPr>
                <w:rFonts w:ascii="Times New Roman"/>
                <w:b w:val="false"/>
                <w:i w:val="false"/>
                <w:color w:val="000000"/>
                <w:sz w:val="20"/>
              </w:rPr>
              <w:t>
және ауырлық</w:t>
            </w:r>
          </w:p>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w:t>
            </w:r>
          </w:p>
          <w:p>
            <w:pPr>
              <w:spacing w:after="20"/>
              <w:ind w:left="20"/>
              <w:jc w:val="both"/>
            </w:pPr>
            <w:r>
              <w:rPr>
                <w:rFonts w:ascii="Times New Roman"/>
                <w:b w:val="false"/>
                <w:i w:val="false"/>
                <w:color w:val="000000"/>
                <w:sz w:val="20"/>
              </w:rPr>
              <w:t>
және ауырлық</w:t>
            </w:r>
          </w:p>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өкпе гипертензиясы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есепте тұрған азаматтардың барлық санаттары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w:t>
            </w:r>
          </w:p>
          <w:p>
            <w:pPr>
              <w:spacing w:after="20"/>
              <w:ind w:left="20"/>
              <w:jc w:val="both"/>
            </w:pPr>
            <w:r>
              <w:rPr>
                <w:rFonts w:ascii="Times New Roman"/>
                <w:b w:val="false"/>
                <w:i w:val="false"/>
                <w:color w:val="000000"/>
                <w:sz w:val="20"/>
              </w:rPr>
              <w:t>
және ауырлық</w:t>
            </w:r>
          </w:p>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w:t>
            </w:r>
          </w:p>
          <w:p>
            <w:pPr>
              <w:spacing w:after="20"/>
              <w:ind w:left="20"/>
              <w:jc w:val="both"/>
            </w:pPr>
            <w:r>
              <w:rPr>
                <w:rFonts w:ascii="Times New Roman"/>
                <w:b w:val="false"/>
                <w:i w:val="false"/>
                <w:color w:val="000000"/>
                <w:sz w:val="20"/>
              </w:rPr>
              <w:t>
және ауырлық</w:t>
            </w:r>
          </w:p>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стенозы, созылмалы канюльтасығыш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w:t>
            </w:r>
          </w:p>
          <w:p>
            <w:pPr>
              <w:spacing w:after="20"/>
              <w:ind w:left="20"/>
              <w:jc w:val="both"/>
            </w:pPr>
            <w:r>
              <w:rPr>
                <w:rFonts w:ascii="Times New Roman"/>
                <w:b w:val="false"/>
                <w:i w:val="false"/>
                <w:color w:val="000000"/>
                <w:sz w:val="20"/>
              </w:rPr>
              <w:t xml:space="preserve">
тұрған азаматтардың </w:t>
            </w:r>
          </w:p>
          <w:p>
            <w:pPr>
              <w:spacing w:after="20"/>
              <w:ind w:left="20"/>
              <w:jc w:val="both"/>
            </w:pPr>
            <w:r>
              <w:rPr>
                <w:rFonts w:ascii="Times New Roman"/>
                <w:b w:val="false"/>
                <w:i w:val="false"/>
                <w:color w:val="000000"/>
                <w:sz w:val="20"/>
              </w:rPr>
              <w:t>
барлық санаттары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Вакууммен басқарылатын аспирациялық катетер (қақырықтан тазарту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 түтігі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Трахеостоманы бекіту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түтіктің астына салуға арналған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клапандары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қолданатын Жанне шприцтері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Гастростомия түтігі (баланы тамақтандыру үшін) F-16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Трахеостомаға арналған бітегіш</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мамандандырылған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емдік тамақтану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азаматтардың барлық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Глютенсыз арнайы ұн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Кистозды фиброз </w:t>
            </w:r>
          </w:p>
          <w:p>
            <w:pPr>
              <w:spacing w:after="20"/>
              <w:ind w:left="20"/>
              <w:jc w:val="both"/>
            </w:pPr>
            <w:r>
              <w:rPr>
                <w:rFonts w:ascii="Times New Roman"/>
                <w:b w:val="false"/>
                <w:i w:val="false"/>
                <w:color w:val="000000"/>
                <w:sz w:val="20"/>
              </w:rPr>
              <w:t>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 және ауырлық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емдік өнімдер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