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4787" w14:textId="8a44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қаласының әкімдігінің 2022 жылғы 15 ақпандағы №02-02/236 "Ақтау қаласына бірыңғай сәулеттік келбетті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2022 жылғы 17 маусымдағы № 02-02/1194 қаулысы. Қазақстан Республикасының Әділет министрлігінде 2022 жылғы 24 маусымда № 28592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қаласының әкімдігінің "Ақтау қаласына бірыңғай сәулеттік келбетті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2022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№02-02/236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№26872 болып тіркелген)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бірыңғай сәулеттік келбетті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Сараптаманың оң қорытындысын алғаннан және ағымдағы жөндеудің сметалық құны немесе көппәтерлі тұрғын үйлердің қасбетін, шатырын күрделі жөндеудің жобалау-сметалық құжаттамасы бекітілгеннен кейін Тұрғын үй инспекциясы бюджеттік жоспарлау жөніндегі орталық уәкілетті орган айқындаған тәртіпке сәйкес бюджеттік өтінім жасайды.".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тұрғын үй инспекциясы"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жетекшілік ететін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