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420c" w14:textId="6114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2022 жылғы 27 сәуірдегі № 107/15 шешімі. Қазақстан Республикасының Әділет министрлігінде 2022 жылғы 28 сәуірде № 27802 болып тіркелді. Күші жойылды - Павлодар облысы Баянауыл аудандық мәслихатының 2023 жылғы 23 маусымдағы № 40/5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23.06.2023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Ескерту. 01.01.2022 бастап қолданысқа енгізіледі - осы шешімнің 2-тармағымен.</w:t>
      </w:r>
    </w:p>
    <w:bookmarkStart w:name="z1" w:id="0"/>
    <w:p>
      <w:pPr>
        <w:spacing w:after="0"/>
        <w:ind w:left="0"/>
        <w:jc w:val="both"/>
      </w:pPr>
      <w:r>
        <w:rPr>
          <w:rFonts w:ascii="Times New Roman"/>
          <w:b w:val="false"/>
          <w:i w:val="false"/>
          <w:color w:val="000000"/>
          <w:sz w:val="28"/>
        </w:rPr>
        <w:t>
      Баянауыл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5197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сәуірдегі № 107/15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маслихатының 2016 жылғы</w:t>
            </w:r>
            <w:r>
              <w:br/>
            </w:r>
            <w:r>
              <w:rPr>
                <w:rFonts w:ascii="Times New Roman"/>
                <w:b w:val="false"/>
                <w:i w:val="false"/>
                <w:color w:val="000000"/>
                <w:sz w:val="20"/>
              </w:rPr>
              <w:t>20 шілдедегі № 25/05</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Баянауыл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Баянауыл ауданының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Баянауыл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"Баянауыл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мүгедек -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орындарында оқу үшін, оқуын аяқтау мерзіміне дейін әлеуметтік көмек алған студенттері;</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(ең төменгі күнкөріс деңгейіне қарамастан), мемлекеттік атаулы әлеуметтік көмек алатын, төрт және одан да көп кәмелетке толмаған балалары бар аз қамтылған көп балалы аналар,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2, 3 абзацтарының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3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7, 8 абзацтарының </w:t>
      </w:r>
      <w:r>
        <w:rPr>
          <w:rFonts w:ascii="Times New Roman"/>
          <w:b w:val="false"/>
          <w:i w:val="false"/>
          <w:color w:val="000000"/>
          <w:sz w:val="28"/>
        </w:rPr>
        <w:t>7-тармағы</w:t>
      </w:r>
      <w:r>
        <w:rPr>
          <w:rFonts w:ascii="Times New Roman"/>
          <w:b w:val="false"/>
          <w:i w:val="false"/>
          <w:color w:val="000000"/>
          <w:sz w:val="28"/>
        </w:rPr>
        <w:t xml:space="preserve"> 2) тармақшасында, 3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3), 4) тармақшаларында, 2, 3, 4, 5, 6, 9 абзацтарының 2) тармақшасында, 4, 5 абзацтарының 5) тармақшасында, 2, 4, 5, 6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6, 8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1, 2 абзацтарының </w:t>
      </w:r>
      <w:r>
        <w:rPr>
          <w:rFonts w:ascii="Times New Roman"/>
          <w:b w:val="false"/>
          <w:i w:val="false"/>
          <w:color w:val="000000"/>
          <w:sz w:val="28"/>
        </w:rPr>
        <w:t>7-тармағы</w:t>
      </w:r>
      <w:r>
        <w:rPr>
          <w:rFonts w:ascii="Times New Roman"/>
          <w:b w:val="false"/>
          <w:i w:val="false"/>
          <w:color w:val="000000"/>
          <w:sz w:val="28"/>
        </w:rPr>
        <w:t xml:space="preserve"> 7) тармақшасында, 2, 3, 4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5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2, 3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уәкілетті органның тізімі негізінде республикалық, халықаралық жарыстарға дайындалу үшін 15 (он бес) АЕК мөлшерінде, 7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4 (төрт) АЕК мөлшерінде, 3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өмірлік қиын жағдайдың басталуынан бір жыл ішінде, 3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4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2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3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6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4, 5 абзацтарының 3) тармақшасында, 3 абзацының 4) тармақшасында, 2 абзацының 6) тармақшасында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3, 4, 5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4 абзацының 7-тармағы 12) тармақшасында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5 абзацының 7-тармағы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2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12-25 -тармақтарына</w:t>
      </w:r>
      <w:r>
        <w:rPr>
          <w:rFonts w:ascii="Times New Roman"/>
          <w:b w:val="false"/>
          <w:i w:val="false"/>
          <w:color w:val="000000"/>
          <w:sz w:val="28"/>
        </w:rPr>
        <w:t xml:space="preserve"> 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Баянауыл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