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2c3c" w14:textId="4ce2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23 желтоқсандағы № 336/67 "Азаматтық қызметшілер болып табылатын және Успен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Павлодар облысы Успен аудандық мәслихатының 2022 жылғы 21 желтоқсандағы № 135/24 шешімі. Қазақстан Республикасының Әділет министрлігінде 2022 жылғы 26 желтоқсанда № 31270 болып тіркелді</w:t>
      </w:r>
    </w:p>
    <w:p>
      <w:pPr>
        <w:spacing w:after="0"/>
        <w:ind w:left="0"/>
        <w:jc w:val="both"/>
      </w:pPr>
      <w:bookmarkStart w:name="z1" w:id="0"/>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23 желтоқсандағы № 336/67 "Азаматтық қызметшілер болып табылатын және Успен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7119 болып тiркелген)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"Успен ауданының азаматтық қызметшілері болып табылатын және ауылдық елді мекендерде жұмыс істейтін әлеуметтік қамсыздандыру және мәдениет саласының мамандарына жиырма бес пайызға жоғарылатылған лауазымдық айлықақылар мен тарифтік мөлшерлемелер белгілеу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Успен ауданының азаматтық қызметшілері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