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694" w14:textId="a064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16 наурыздағы № 15/16 шешімі. Қазақстан Республикасының Әділет министрлігінде 2022 жылғы 30 наурызда № 27284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әлеуметтік маңызы бар қатынастарының тізбесін айқындау туралы" Солтүстік Қазақстан облыстық мәслихатының 2020 жылғы 11 желтоқсандағы № 50/4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мемлекеттік тіркеу тізілімінде № 6840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50/4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№ 3 орта мектеп – темiржол вокзалы – № 2 орта мектеп – "Балапан" балабақшасы – аудандық орталық аурухана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қатынасы – "МиК"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"туберкулезге қарсы диспансер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№ 1 орта мектеп – Интернационал көшесi – "Айнагүл" балабақшасы – аудандық орталық аурухана – Туберкулезге қарсы диспансер"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аудандық орталық аурухана"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"Агробизнес" колледжі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"Агробизнес" колледжі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аудандық орталық аурухана – орталық базар – автостанция" қатынас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Солнечный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21М қатынас "теміржол вокзалы – Малышев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22М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Жуков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Әскери Ұлттық Ұлан Институты"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жылу-энергия орталығы-2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"Әскери Ұлттық ұлан институты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