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94ab" w14:textId="bfc9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2021 жылғы 12 қарашадағы № 13-11с "Уәлиханов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13 қыркүйектегі № 16-22 c шешімі. Қазақстан Республикасының Әділет министрлігінде 2022 жылғы 14 қыркүйекте № 29566 болып тіркелді</w:t>
      </w:r>
    </w:p>
    <w:p>
      <w:pPr>
        <w:spacing w:after="0"/>
        <w:ind w:left="0"/>
        <w:jc w:val="both"/>
      </w:pPr>
      <w:bookmarkStart w:name="z4" w:id="0"/>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"Уәлиханов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2021 жылғы 12 қарашадағы №13-11с (Нормативтік құқықтық актілерді мемлекеттік тіркеу тізілімінде № 25449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"Уәлиханов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Уәлиханов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16-22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8"/>
    <w:p>
      <w:pPr>
        <w:spacing w:after="0"/>
        <w:ind w:left="0"/>
        <w:jc w:val="left"/>
      </w:pPr>
      <w:r>
        <w:rPr>
          <w:rFonts w:ascii="Times New Roman"/>
          <w:b/>
          <w:i w:val="false"/>
          <w:color w:val="000000"/>
        </w:rPr>
        <w:t xml:space="preserve"> Уәлиханов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0" w:id="9"/>
    <w:p>
      <w:pPr>
        <w:spacing w:after="0"/>
        <w:ind w:left="0"/>
        <w:jc w:val="both"/>
      </w:pPr>
      <w:r>
        <w:rPr>
          <w:rFonts w:ascii="Times New Roman"/>
          <w:b w:val="false"/>
          <w:i w:val="false"/>
          <w:color w:val="000000"/>
          <w:sz w:val="28"/>
        </w:rPr>
        <w:t>
      1. Осы Уәлиханов ауданында мүгедектігі бар балалар қатарындағы кемтар балаларды жеке оқыту жоспары бойынша үйде оқытуға жұмсалған шығындарын өндіріп алу тәртібі және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әрі-шығындарды өтеу қағидалары) сәйкес әзірленді.</w:t>
      </w:r>
    </w:p>
    <w:bookmarkEnd w:id="9"/>
    <w:bookmarkStart w:name="z21"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шығындарын өндіріп алуды (бұдан әрі- оқытуға жұмсалған шығындарды өндіріп алу) мүгедектігі бар баланың қатарындағы кемтар балаларды үйде оқу фактісін растайтын оқу орынының анықтамасы негізінде "Уәлиханов ауданының жұмыспен қамту және әлеуметтік бағдарламалар бөлімі" мемлекеттік мекемесімен жүзеге асырылады.</w:t>
      </w:r>
    </w:p>
    <w:bookmarkEnd w:id="10"/>
    <w:bookmarkStart w:name="z22"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3" w:id="12"/>
    <w:p>
      <w:pPr>
        <w:spacing w:after="0"/>
        <w:ind w:left="0"/>
        <w:jc w:val="both"/>
      </w:pPr>
      <w:r>
        <w:rPr>
          <w:rFonts w:ascii="Times New Roman"/>
          <w:b w:val="false"/>
          <w:i w:val="false"/>
          <w:color w:val="000000"/>
          <w:sz w:val="28"/>
        </w:rPr>
        <w:t xml:space="preserve">
      4. Оқытуға жұмсалған шығындарын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 </w:t>
      </w:r>
    </w:p>
    <w:bookmarkEnd w:id="12"/>
    <w:bookmarkStart w:name="z24" w:id="13"/>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5" w:id="14"/>
    <w:p>
      <w:pPr>
        <w:spacing w:after="0"/>
        <w:ind w:left="0"/>
        <w:jc w:val="both"/>
      </w:pPr>
      <w:r>
        <w:rPr>
          <w:rFonts w:ascii="Times New Roman"/>
          <w:b w:val="false"/>
          <w:i w:val="false"/>
          <w:color w:val="000000"/>
          <w:sz w:val="28"/>
        </w:rPr>
        <w:t>
      6. Оқытуға арналған шығындарын өндіріп алу үшін қажетті құжаттар тізбесі шығындарды өтеу қағидаларының 3-қосымшасына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4"/>
    <w:bookmarkStart w:name="z26" w:id="15"/>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жұмсалған шығындарын өндіріп алу мөлшері жеке оқыту жоспары бойынша әрбір мүгедектігі бар балаға тоқсан сайын алты жарым айлық есептік көрсеткішке тең.</w:t>
      </w:r>
    </w:p>
    <w:bookmarkEnd w:id="15"/>
    <w:bookmarkStart w:name="z27" w:id="16"/>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3-қосымшаның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