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9db8" w14:textId="f229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2021 жылғы 21 сәуірдегі № 5/48-VIІ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2022 жылғы 6 мамырдағы № 15/181-VII шешімі. Қазақстан Республикасының Әділет министрлігінде 2022 жылғы 12 мамырда № 27979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6176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 мынадай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(Линпарза)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 12 мг (5 мл)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