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d13f" w14:textId="030d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облыстық мәслихатының 2021 жылғы 21 сәуірдегі № 5/48-VIІ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2022 жылғы 14 қыркүйектегі № 17/216-VII шешімі. Қазақстан Республикасының Әділет министрлігінде 2022 жылғы 19 қыркүйекте № 29663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 5/48-VІI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6176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Түркістан облысында тұратын азаматтардың жекелеген санаттарына амбулаториялық емдеу кезінде рецепт бойынша облыстық бюджет қаражаты есебінен тегін қосымша берілетін дәрілік заттар, арнайы емдік өнімдер және медициналық бұйымдардың тізілімі мынадай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 200 мкг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 800 мкг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 2,5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 10 мг/мл 50мл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С1-Ингибитора (эстераза) человеческий 500 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