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e35a" w14:textId="9cde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бойынша тұрғын үй сертификаттарының мөлшерін және алушылар санаттарының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25 қарашадағы № 33/143-VII шешiмi. Қазақстан Республикасының Әділет министрлігінде 2022 жылғы 1 желтоқсанда № 30899 болып тiркелдi. Күші жойылды - Түркістан облысы Қазығұрт аудандық мәслихатының 2024 жылғы 21 ақпандағы № 11/71-VIII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аудандық мәслихатының 21.02.2024 № 11/71-VIII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 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2-9 тармағына,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9), 11) тармақшаларына сәйкес,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Тұрғын үй сертификаттарын алушылар санатының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 № 33/143-VII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сертификаттарының мөлшері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сомасынан 10 пайыз, алайда әлеуметтік көмек түрі ретінде 1000000 (бір миллион) теңгеден артық емес.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сомасынан 10 пайыз, алайда әлеуметтік қолдау түрі ретінде 1000000 (бір миллион) теңгеден артық емес.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 № 33/143-VII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Мүгедектігі бар балалары бар немесе оларды тәрбиелеп отырған отбасылар.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Толық емес отбасылар.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Еңбек және халықты әлеуметтік қорғау министрінің 2019 жылғы 29 наурыздағы № 154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18445 болып тіркелген) Еңбек ресурстарын болжаудың ұлттық жүйесін қалыптастыру және оның нәтижелерін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 еңбек ресурстарының болжамы есебімен, еңбек және жұмыспен қамту статистикасы бойынша статистикалық байқауларды талдау негізінде денсаулық сақтау, білім беру, мәдениет, спорт салаларындағы бюджеттiк ұйымдарының мамандары және басқада салалардағы мамандар.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