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3b18" w14:textId="f463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елді мекендеріндегі салық салу объектілерінің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2022 жылғы 28 наурыздағы № 160 қаулысы. Қазақстан Республикасының Әділет министрлігінде 2022 жылғы 19 сәуірде № 27629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(Нормативтік құқықтық актілерді мемлекеттік тіркеу тіркелімінде № 17847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Зайсан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ауданының елді мекендеріндегі салық салу объектілерінің орналасқан жерін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2. Зайсан ауданының әкімдігінің "Зайсан ауданының елді мекендеріндегі салық салу объектілерінің орналасқан жерін ескеретін аймаққа бөлу коэффициентін бекіту туралы" 2018 жылғы 27 желтоқсандағы № 963 (нормативтік құқықтық актілерді мемлекеттік тіркеу тізілімінде № 5-11-186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"Зайсан ауданының экономика және қаржы бөлімі"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жауапты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2023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ауданының елді мекендеріндегі салық салу обьектілерінің орналасқан жерін ескеретін аймаққа бөлу коэффициенті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Шүршітсу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Көгедай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Аққойын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Саржыра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