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e592e" w14:textId="a9e59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"Көлік-логистика орталықтарын жайластыру және техникалық жарақтандыру жөніндегі үлгілік талаптарды бекіту туралы" Қазақстан Республикасы Инвестициялар және даму министрінің міндетін атқарушының 2015 жылғы 28 мамырдағы № 650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20 қаңтардағы № 36 бұйрығы. Қазақстан Республикасының Әділет министрлігінде 2023 жылғы 23 қаңтарда № 31756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"Көлік-логистика орталықтарын жайластыру және техникалық жарақтандыру жөніндегі үлгілік талаптарды бекіту туралы" Қазақстан Республикасы Инвестициялар және даму министрінің міндетін атқарушының 2015 жылғы 28 мамырдағы № 650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№11694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Көлік-логистика орталықтарын жайластыру және техникалық жарақтандыру жөніндегі </w:t>
      </w:r>
      <w:r>
        <w:rPr>
          <w:rFonts w:ascii="Times New Roman"/>
          <w:b w:val="false"/>
          <w:i w:val="false"/>
          <w:color w:val="000000"/>
          <w:sz w:val="28"/>
        </w:rPr>
        <w:t>үлгілік 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 w:id="0"/>
    <w:p>
      <w:pPr>
        <w:spacing w:after="0"/>
        <w:ind w:left="0"/>
        <w:jc w:val="both"/>
      </w:pPr>
      <w:r>
        <w:rPr>
          <w:rFonts w:ascii="Times New Roman"/>
          <w:b w:val="false"/>
          <w:i w:val="false"/>
          <w:color w:val="000000"/>
          <w:sz w:val="28"/>
        </w:rPr>
        <w:t>
      "9. КЛО алаңы қажеттілік болған жағдайда КЛО жалпы ауданынан кемінде 20 % кеңейту мүмкіндігімен жүк ағынына байланысты. КЛО алаңы мынадай талаптарға сәйкес келеді:</w:t>
      </w:r>
    </w:p>
    <w:bookmarkEnd w:id="0"/>
    <w:p>
      <w:pPr>
        <w:spacing w:after="0"/>
        <w:ind w:left="0"/>
        <w:jc w:val="both"/>
      </w:pPr>
      <w:r>
        <w:rPr>
          <w:rFonts w:ascii="Times New Roman"/>
          <w:b w:val="false"/>
          <w:i w:val="false"/>
          <w:color w:val="000000"/>
          <w:sz w:val="28"/>
        </w:rPr>
        <w:t>
      1) қойма аймағы КЛО жалпы алаңының кемінде 40 %;</w:t>
      </w:r>
    </w:p>
    <w:p>
      <w:pPr>
        <w:spacing w:after="0"/>
        <w:ind w:left="0"/>
        <w:jc w:val="both"/>
      </w:pPr>
      <w:r>
        <w:rPr>
          <w:rFonts w:ascii="Times New Roman"/>
          <w:b w:val="false"/>
          <w:i w:val="false"/>
          <w:color w:val="000000"/>
          <w:sz w:val="28"/>
        </w:rPr>
        <w:t>
      2) тұрақ үшін алаң КЛО жалпы алаңының кемінде 15 %;</w:t>
      </w:r>
    </w:p>
    <w:p>
      <w:pPr>
        <w:spacing w:after="0"/>
        <w:ind w:left="0"/>
        <w:jc w:val="both"/>
      </w:pPr>
      <w:r>
        <w:rPr>
          <w:rFonts w:ascii="Times New Roman"/>
          <w:b w:val="false"/>
          <w:i w:val="false"/>
          <w:color w:val="000000"/>
          <w:sz w:val="28"/>
        </w:rPr>
        <w:t>
      3) терминал аймағы КЛО жалпы алаңының кемінде 15 %;</w:t>
      </w:r>
    </w:p>
    <w:p>
      <w:pPr>
        <w:spacing w:after="0"/>
        <w:ind w:left="0"/>
        <w:jc w:val="both"/>
      </w:pPr>
      <w:r>
        <w:rPr>
          <w:rFonts w:ascii="Times New Roman"/>
          <w:b w:val="false"/>
          <w:i w:val="false"/>
          <w:color w:val="000000"/>
          <w:sz w:val="28"/>
        </w:rPr>
        <w:t>
      4) контейнерлік алаң КЛО жалпы алаңының кемінде 15 %.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"17. КЛО әкімшілік ғимараттарында байланыстың серверлік тораптарын орналастыру үшін үй-жайлар қарастырылады.";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"7) өртті жоюды және адамдарды қауіпсіз жерге көшіруді (ұйғарынды өрт қатерін есепке алып) ұйымдастыру мақсатында өрт туралы хабарландыру жүйелерін және өрт сөндіру қондырғыларын қосу үшін қажетті уақытта өртті автоматты түрде анықтауды, өңдеуді, өрт туралы хабарландыруды белгіленген түрде беруді қамтамасыз ететін, объектілерде монтаждалған және жалпы өрт бекетінен бақыланатын жобалау құжаттамасына сәйкес өрт дабылын, өрт сөндіруді және өрт туралы адамдарды хабарландыру жүйесін орнатудың жиынтығынан тұратын өрт сөндіру автоматикасының жүйесі;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 </w:t>
      </w:r>
    </w:p>
    <w:bookmarkStart w:name="z10" w:id="3"/>
    <w:p>
      <w:pPr>
        <w:spacing w:after="0"/>
        <w:ind w:left="0"/>
        <w:jc w:val="both"/>
      </w:pPr>
      <w:r>
        <w:rPr>
          <w:rFonts w:ascii="Times New Roman"/>
          <w:b w:val="false"/>
          <w:i w:val="false"/>
          <w:color w:val="000000"/>
          <w:sz w:val="28"/>
        </w:rPr>
        <w:t>
      "5) жобалау құжаттамасына сәйкес өрт дабылы жүйесінің мен автоматты өрт сөндіру жүйесінің болуы;";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 </w:t>
      </w:r>
    </w:p>
    <w:bookmarkStart w:name="z12" w:id="4"/>
    <w:p>
      <w:pPr>
        <w:spacing w:after="0"/>
        <w:ind w:left="0"/>
        <w:jc w:val="both"/>
      </w:pPr>
      <w:r>
        <w:rPr>
          <w:rFonts w:ascii="Times New Roman"/>
          <w:b w:val="false"/>
          <w:i w:val="false"/>
          <w:color w:val="000000"/>
          <w:sz w:val="28"/>
        </w:rPr>
        <w:t>
      "5) жобалау құжаттамасына сәйкес өрт дабылы жүйесі мен автоматты өрт сөндіру жүйесінің болуы;".</w:t>
      </w:r>
    </w:p>
    <w:bookmarkEnd w:id="4"/>
    <w:bookmarkStart w:name="z13" w:id="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саясаты және инфрақұрылым департаменті заңнамада белгіленген тәртіппен:</w:t>
      </w:r>
    </w:p>
    <w:bookmarkEnd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14"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15" w:id="7"/>
    <w:p>
      <w:pPr>
        <w:spacing w:after="0"/>
        <w:ind w:left="0"/>
        <w:jc w:val="both"/>
      </w:pPr>
      <w:r>
        <w:rPr>
          <w:rFonts w:ascii="Times New Roman"/>
          <w:b w:val="false"/>
          <w:i w:val="false"/>
          <w:color w:val="000000"/>
          <w:sz w:val="28"/>
        </w:rPr>
        <w:t>
      4. Осы бұйры алғашқы ресми жарияланған күнінен кейін күтізбелік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