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343d" w14:textId="e9d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 ақпандағы № 77 бұйрығы. Қазақстан Республикасының Әділет министрлігінде 2023 жылғы 13 ақпанда № 31895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Құрылыс жобаларына ведомстводан тыс кешенді сараптаманың мақсаты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w:t>
      </w:r>
    </w:p>
    <w:bookmarkEnd w:id="3"/>
    <w:bookmarkStart w:name="z6" w:id="4"/>
    <w:p>
      <w:pPr>
        <w:spacing w:after="0"/>
        <w:ind w:left="0"/>
        <w:jc w:val="both"/>
      </w:pPr>
      <w:r>
        <w:rPr>
          <w:rFonts w:ascii="Times New Roman"/>
          <w:b w:val="false"/>
          <w:i w:val="false"/>
          <w:color w:val="000000"/>
          <w:sz w:val="28"/>
        </w:rPr>
        <w:t>
      қала құрылысы және техникалық регламенттердің, мемлекеттік және мемлекетаралық нормативтік құжаттар нормалары мен ережелерінің, сәулет, қала құрылысы және құрылыс саласындағы сметалық нормалардың;</w:t>
      </w:r>
    </w:p>
    <w:bookmarkEnd w:id="4"/>
    <w:bookmarkStart w:name="z7" w:id="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 мен гигиеналық нормативтердің талаптарын сақтау арқылы жобалардың сапасына талдау мен бағалау жүргізу болып табылады.";</w:t>
      </w:r>
    </w:p>
    <w:bookmarkEnd w:id="5"/>
    <w:bookmarkStart w:name="z8" w:id="6"/>
    <w:p>
      <w:pPr>
        <w:spacing w:after="0"/>
        <w:ind w:left="0"/>
        <w:jc w:val="both"/>
      </w:pPr>
      <w:r>
        <w:rPr>
          <w:rFonts w:ascii="Times New Roman"/>
          <w:b w:val="false"/>
          <w:i w:val="false"/>
          <w:color w:val="000000"/>
          <w:sz w:val="28"/>
        </w:rPr>
        <w:t>
      мынадай мазмұндағы 75-2-тармақпен толықтырылсын:</w:t>
      </w:r>
    </w:p>
    <w:bookmarkEnd w:id="6"/>
    <w:bookmarkStart w:name="z9" w:id="7"/>
    <w:p>
      <w:pPr>
        <w:spacing w:after="0"/>
        <w:ind w:left="0"/>
        <w:jc w:val="both"/>
      </w:pPr>
      <w:r>
        <w:rPr>
          <w:rFonts w:ascii="Times New Roman"/>
          <w:b w:val="false"/>
          <w:i w:val="false"/>
          <w:color w:val="000000"/>
          <w:sz w:val="28"/>
        </w:rPr>
        <w:t>
      "75-2. Құрылыс процесінде тапсырыс берушіде бұрын бекітілген жобалау-сметалық құжаттамаға, құрылыс кезектілігі (оның ішінде іске қосу кешендері мен кезеңдері) бөлігінде өзгерістер енгізу қажеттілігі туындаған жағдайда, құрылыс құнының ұлғаюына әкеп соқпайтын, бұрынғы жобалау шешімдеріне және бекітілген негізгі техникалық көрсеткіштерге әсер етпейтін, ведомстводан тыс қайтадан (жаңа) кешенді сараптама жүргізілмейді.";</w:t>
      </w:r>
    </w:p>
    <w:bookmarkEnd w:id="7"/>
    <w:bookmarkStart w:name="z10" w:id="8"/>
    <w:p>
      <w:pPr>
        <w:spacing w:after="0"/>
        <w:ind w:left="0"/>
        <w:jc w:val="both"/>
      </w:pPr>
      <w:r>
        <w:rPr>
          <w:rFonts w:ascii="Times New Roman"/>
          <w:b w:val="false"/>
          <w:i w:val="false"/>
          <w:color w:val="000000"/>
          <w:sz w:val="28"/>
        </w:rPr>
        <w:t>
      мынадай мазмұндағы 79-2-тармақпен толықтырылсын:</w:t>
      </w:r>
    </w:p>
    <w:bookmarkEnd w:id="8"/>
    <w:bookmarkStart w:name="z11" w:id="9"/>
    <w:p>
      <w:pPr>
        <w:spacing w:after="0"/>
        <w:ind w:left="0"/>
        <w:jc w:val="both"/>
      </w:pPr>
      <w:r>
        <w:rPr>
          <w:rFonts w:ascii="Times New Roman"/>
          <w:b w:val="false"/>
          <w:i w:val="false"/>
          <w:color w:val="000000"/>
          <w:sz w:val="28"/>
        </w:rPr>
        <w:t>
      "79-2. ТЭН немесе ЖСҚ жиынтығының электрондық нұсқасы олардың түпкілікті редакциясында ведомстводан тыс кешенді сараптаманың оң қорытындысы берілгенге дейін құжаттама жобасының тиісті бөлімдеріне немесе бөліктеріне жауапты сарапшылардың электрондық-цифрлық қолтаңбасымен куәландыру жолымен ақпараттық жүйеде қалыптастырылады.</w:t>
      </w:r>
    </w:p>
    <w:bookmarkEnd w:id="9"/>
    <w:bookmarkStart w:name="z12" w:id="10"/>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кезде ТЭН мен ЖСҚ-ның түпкілікті редакциясы қағаз түрінде тегі, аты, әкесінің аты (бар болса), лауазымы, аттестат нөмірі және оны берген күні көрсетілген сарапшының мөрімен куәландырылады.";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"2) жергілікті атқарушы органдардың жер учаскесін (алаңды, трассаны) пайдалануға рұқсаты (ТЭН немесе ЖСҚ үшін) немесе жер учаскесіне құқық белгілейтін құжат (ЖСҚ үшін), келесі жағдайларды қоспағанда:</w:t>
      </w:r>
    </w:p>
    <w:bookmarkEnd w:id="12"/>
    <w:bookmarkStart w:name="z16" w:id="13"/>
    <w:p>
      <w:pPr>
        <w:spacing w:after="0"/>
        <w:ind w:left="0"/>
        <w:jc w:val="both"/>
      </w:pPr>
      <w:r>
        <w:rPr>
          <w:rFonts w:ascii="Times New Roman"/>
          <w:b w:val="false"/>
          <w:i w:val="false"/>
          <w:color w:val="000000"/>
          <w:sz w:val="28"/>
        </w:rPr>
        <w:t xml:space="preserve">
      егер инженерлік және көлік инфрақұрылымы объектісі (желілік объектілер) мемлекеттік орман қоры жерлерінде орналасқан болса – Қазақстан Республикасы Ауыл шаруашылығы министрінің 2015 жылғы 28 қаңтардағы № 18-02/45 бұйрығымен бекітілген (Нормативтік құқықтық актілерді мемлекеттік тіркеу тізілімінде № 10481 болып тіркелген) Орман шаруашылығын жүргізуге байланысты емес мақсаттар үшін орман қоры жерлерінің санатынан басқа санаттардағы жерлерге ауыстыру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қоры жерлерін бір санаттан басқа санатқа ауыстыруды мақұлдау туралы комиссияның оң қорытындысы, сондай-ақ жергілікті атқарушы органдармен алдын ала келісім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су шаруашылығы құрылыстарын салу және олардың жұмыс істеу, сондай-ақ Қазақстан Республикасының Мемлекеттік шекарасы объектілерін салу, жайластыру және олардың жұмыс істеу, қорғаныс мұқтаждары объектісі оларды ықтимал орналастырудың басқа нұсқалары болмаған кезде ерекше қорғалатын табиғи аумақтарда орналасқан жағдайында – Қазақстан Республикасы Үкіметінің 2009 жылғы 17 ақпандағы № 172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қорғалатын табиғи аумақтардың жерін босалқы жерге ауыстыру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инженерлік және көліктік инфрақұрылым объектісі (желілік объектілер) мемлекеттік табиғи қаумалдар мен мемлекеттік қорық аймақтарының аумағында орналасса – Қазақстан Республикасы Үкіметінің 2010 жылғы 11 мамырдағы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bookmarkStart w:name="z19" w:id="14"/>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End w:id="14"/>
    <w:bookmarkStart w:name="z20"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2" w:id="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26" w:id="18"/>
    <w:p>
      <w:pPr>
        <w:spacing w:after="0"/>
        <w:ind w:left="0"/>
        <w:jc w:val="both"/>
      </w:pPr>
      <w:r>
        <w:rPr>
          <w:rFonts w:ascii="Times New Roman"/>
          <w:b w:val="false"/>
          <w:i w:val="false"/>
          <w:color w:val="000000"/>
          <w:sz w:val="28"/>
        </w:rPr>
        <w:t>
      реттік нөмірі 9-жол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p>
          <w:p>
            <w:pPr>
              <w:spacing w:after="20"/>
              <w:ind w:left="20"/>
              <w:jc w:val="both"/>
            </w:pPr>
            <w:r>
              <w:rPr>
                <w:rFonts w:ascii="Times New Roman"/>
                <w:b w:val="false"/>
                <w:i w:val="false"/>
                <w:color w:val="000000"/>
                <w:sz w:val="20"/>
              </w:rPr>
              <w:t>
ветеринария саласындағы уәкілетті мемлекеттік орган;</w:t>
            </w:r>
          </w:p>
          <w:p>
            <w:pPr>
              <w:spacing w:after="20"/>
              <w:ind w:left="20"/>
              <w:jc w:val="both"/>
            </w:pPr>
            <w:r>
              <w:rPr>
                <w:rFonts w:ascii="Times New Roman"/>
                <w:b w:val="false"/>
                <w:i w:val="false"/>
                <w:color w:val="000000"/>
                <w:sz w:val="20"/>
              </w:rPr>
              <w:t>
азаматтық және мемлекеттік авиация саласындағы уәкілетті мемлекеттік орган (әуеайлақтан 15 километр шегінде орналасқан және биіктігі 45 метр және одан жоғары объектілер бойынша);</w:t>
            </w:r>
          </w:p>
          <w:p>
            <w:pPr>
              <w:spacing w:after="20"/>
              <w:ind w:left="20"/>
              <w:jc w:val="both"/>
            </w:pPr>
            <w:r>
              <w:rPr>
                <w:rFonts w:ascii="Times New Roman"/>
                <w:b w:val="false"/>
                <w:i w:val="false"/>
                <w:color w:val="000000"/>
                <w:sz w:val="20"/>
              </w:rPr>
              <w:t>
Қазақстан Республикасының сәулет, қала құрылысы және құрылыс саласындағы заңнамасында және нормативтік-техникалық құжаттарда көзделген құрылыс жобасын өзге де келісулер.</w:t>
            </w:r>
          </w:p>
        </w:tc>
      </w:tr>
    </w:tbl>
    <w:p>
      <w:pPr>
        <w:spacing w:after="0"/>
        <w:ind w:left="0"/>
        <w:jc w:val="both"/>
      </w:pP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9"/>
    <w:bookmarkStart w:name="z28"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9"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30"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