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d6be" w14:textId="7a2d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9 ақпандағы № 46 бұйрығы. Қазақстан Республикасының Әділет министрлігінде 2023 жылғы 13 ақпанда № 31897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мынадай өзгеріс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қажетті ең </w:t>
      </w:r>
      <w:r>
        <w:rPr>
          <w:rFonts w:ascii="Times New Roman"/>
          <w:b w:val="false"/>
          <w:i w:val="false"/>
          <w:color w:val="000000"/>
          <w:sz w:val="28"/>
        </w:rPr>
        <w:t>төменгі деңгейі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9 ақпандағы</w:t>
            </w:r>
            <w:r>
              <w:br/>
            </w:r>
            <w:r>
              <w:rPr>
                <w:rFonts w:ascii="Times New Roman"/>
                <w:b w:val="false"/>
                <w:i w:val="false"/>
                <w:color w:val="000000"/>
                <w:sz w:val="20"/>
              </w:rPr>
              <w:t>№ 46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қажетті ең төменгі деңгейі</w:t>
      </w:r>
    </w:p>
    <w:bookmarkEnd w:id="9"/>
    <w:bookmarkStart w:name="z11" w:id="10"/>
    <w:p>
      <w:pPr>
        <w:spacing w:after="0"/>
        <w:ind w:left="0"/>
        <w:jc w:val="both"/>
      </w:pPr>
      <w:r>
        <w:rPr>
          <w:rFonts w:ascii="Times New Roman"/>
          <w:b w:val="false"/>
          <w:i w:val="false"/>
          <w:color w:val="000000"/>
          <w:sz w:val="28"/>
        </w:rPr>
        <w:t xml:space="preserve">
      1. "Болашақ" халықаралық стипендиясы тағайындалуына үміткерлер үшін мемлекеттік тілді білуінің қажетті ең төменгі деңгейі: </w:t>
      </w:r>
    </w:p>
    <w:bookmarkEnd w:id="10"/>
    <w:p>
      <w:pPr>
        <w:spacing w:after="0"/>
        <w:ind w:left="0"/>
        <w:jc w:val="both"/>
      </w:pPr>
      <w:r>
        <w:rPr>
          <w:rFonts w:ascii="Times New Roman"/>
          <w:b w:val="false"/>
          <w:i w:val="false"/>
          <w:color w:val="000000"/>
          <w:sz w:val="28"/>
        </w:rPr>
        <w:t>
      "Болашақ" халықаралық стипендиясы тағайындалуына үміткерлер үшін мемлекеттік тілді білуінің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 тағайындалуына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тілінен (ҚАЗТЕСТ) емтихан тапсырғаны туралы ресми сертификатты ұсынады.</w:t>
      </w:r>
    </w:p>
    <w:bookmarkStart w:name="z12" w:id="11"/>
    <w:p>
      <w:pPr>
        <w:spacing w:after="0"/>
        <w:ind w:left="0"/>
        <w:jc w:val="both"/>
      </w:pPr>
      <w:r>
        <w:rPr>
          <w:rFonts w:ascii="Times New Roman"/>
          <w:b w:val="false"/>
          <w:i w:val="false"/>
          <w:color w:val="000000"/>
          <w:sz w:val="28"/>
        </w:rPr>
        <w:t>
      2. "Болашақ" халықаралық стипендиясын тағайындауға арналған үміткерлер үшін шет тілін білудің қажетті ең төменгі деңгейі: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шектілік деңгейі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шектілік деңгейі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Ауылдық елді мекеннен шыққан үміткер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80-нен 160 дейін</w:t>
            </w:r>
          </w:p>
          <w:p>
            <w:pPr>
              <w:spacing w:after="20"/>
              <w:ind w:left="20"/>
              <w:jc w:val="both"/>
            </w:pPr>
            <w:r>
              <w:rPr>
                <w:rFonts w:ascii="Times New Roman"/>
                <w:b w:val="false"/>
                <w:i w:val="false"/>
                <w:color w:val="000000"/>
                <w:sz w:val="20"/>
              </w:rPr>
              <w:t>
IELTS Indicator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IBT 120-дан 79, </w:t>
            </w:r>
          </w:p>
          <w:p>
            <w:pPr>
              <w:spacing w:after="20"/>
              <w:ind w:left="20"/>
              <w:jc w:val="both"/>
            </w:pPr>
            <w:r>
              <w:rPr>
                <w:rFonts w:ascii="Times New Roman"/>
                <w:b w:val="false"/>
                <w:i w:val="false"/>
                <w:color w:val="000000"/>
                <w:sz w:val="20"/>
              </w:rPr>
              <w:t xml:space="preserve">
PBT/ITP 677-ден 548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6.0 </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120-дан 60, </w:t>
            </w:r>
          </w:p>
          <w:p>
            <w:pPr>
              <w:spacing w:after="20"/>
              <w:ind w:left="20"/>
              <w:jc w:val="both"/>
            </w:pPr>
            <w:r>
              <w:rPr>
                <w:rFonts w:ascii="Times New Roman"/>
                <w:b w:val="false"/>
                <w:i w:val="false"/>
                <w:color w:val="000000"/>
                <w:sz w:val="20"/>
              </w:rPr>
              <w:t>
PBT/ITP 677-ден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120-дан 35, </w:t>
            </w:r>
          </w:p>
          <w:p>
            <w:pPr>
              <w:spacing w:after="20"/>
              <w:ind w:left="20"/>
              <w:jc w:val="both"/>
            </w:pPr>
            <w:r>
              <w:rPr>
                <w:rFonts w:ascii="Times New Roman"/>
                <w:b w:val="false"/>
                <w:i w:val="false"/>
                <w:color w:val="000000"/>
                <w:sz w:val="20"/>
              </w:rPr>
              <w:t>
PBT/ ITP 677-ден 417</w:t>
            </w:r>
          </w:p>
          <w:p>
            <w:pPr>
              <w:spacing w:after="20"/>
              <w:ind w:left="20"/>
              <w:jc w:val="both"/>
            </w:pPr>
            <w:r>
              <w:rPr>
                <w:rFonts w:ascii="Times New Roman"/>
                <w:b w:val="false"/>
                <w:i w:val="false"/>
                <w:color w:val="000000"/>
                <w:sz w:val="20"/>
              </w:rPr>
              <w:t>
DET 75-тен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w:t>
            </w:r>
          </w:p>
          <w:p>
            <w:pPr>
              <w:spacing w:after="20"/>
              <w:ind w:left="20"/>
              <w:jc w:val="both"/>
            </w:pPr>
            <w:r>
              <w:rPr>
                <w:rFonts w:ascii="Times New Roman"/>
                <w:b w:val="false"/>
                <w:i w:val="false"/>
                <w:color w:val="000000"/>
                <w:sz w:val="20"/>
              </w:rPr>
              <w:t>
DSH-2 (DSH-3 медициналық бағыт бойынша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Studieprøven 02 балдан әр секция бойынша (дат тілін бағалаудың 7 балдық жүйесі бойынша) </w:t>
            </w:r>
          </w:p>
          <w:p>
            <w:pPr>
              <w:spacing w:after="20"/>
              <w:ind w:left="20"/>
              <w:jc w:val="both"/>
            </w:pPr>
            <w:r>
              <w:rPr>
                <w:rFonts w:ascii="Times New Roman"/>
                <w:b w:val="false"/>
                <w:i w:val="false"/>
                <w:color w:val="000000"/>
                <w:sz w:val="20"/>
              </w:rPr>
              <w:t>
6 балдан әр секция бойынша (дат тілін бағалаудың 13 балдық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Academic and professional language proficiency (Educatif Professioneel -PAT) (C1)</w:t>
            </w:r>
          </w:p>
          <w:p>
            <w:pPr>
              <w:spacing w:after="20"/>
              <w:ind w:left="20"/>
              <w:jc w:val="both"/>
            </w:pPr>
            <w:r>
              <w:rPr>
                <w:rFonts w:ascii="Times New Roman"/>
                <w:b w:val="false"/>
                <w:i w:val="false"/>
                <w:color w:val="000000"/>
                <w:sz w:val="20"/>
              </w:rPr>
              <w:t>
Profile Language Proficiency higher eduction (Educatif Startbekwaam -PTHO)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TOPIK 6 деңгейден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TOPIK 6 деңгейден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6 деңгейден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6 деңгейден 3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Медициналық қызметкер, </w:t>
            </w:r>
          </w:p>
          <w:p>
            <w:pPr>
              <w:spacing w:after="20"/>
              <w:ind w:left="20"/>
              <w:jc w:val="both"/>
            </w:pPr>
            <w:r>
              <w:rPr>
                <w:rFonts w:ascii="Times New Roman"/>
                <w:b w:val="false"/>
                <w:i w:val="false"/>
                <w:color w:val="000000"/>
                <w:sz w:val="20"/>
              </w:rPr>
              <w:t>
Ауылдық елді мекеннен шыққан үміткер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5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Академиялық оқуға шартсыз қабылданғанын растайтын хат ұсынған тұлғалар үшінші шектілік деңгейдің талаптарына сәйкес қабылданады.</w:t>
      </w:r>
    </w:p>
    <w:p>
      <w:pPr>
        <w:spacing w:after="0"/>
        <w:ind w:left="0"/>
        <w:jc w:val="both"/>
      </w:pPr>
      <w:r>
        <w:rPr>
          <w:rFonts w:ascii="Times New Roman"/>
          <w:b w:val="false"/>
          <w:i w:val="false"/>
          <w:color w:val="000000"/>
          <w:sz w:val="28"/>
        </w:rPr>
        <w:t>
      Ағылшын тілі тағайындау елінің ресми тілі болып табылмаған жағдайда, тілдік курстарды Ұлыбритания немесе АҚШ тіл мектептерінен өтуі мүмкін.</w:t>
      </w:r>
    </w:p>
    <w:p>
      <w:pPr>
        <w:spacing w:after="0"/>
        <w:ind w:left="0"/>
        <w:jc w:val="both"/>
      </w:pPr>
      <w:r>
        <w:rPr>
          <w:rFonts w:ascii="Times New Roman"/>
          <w:b w:val="false"/>
          <w:i w:val="false"/>
          <w:color w:val="000000"/>
          <w:sz w:val="28"/>
        </w:rPr>
        <w:t>
      Германия Федеративтік Республикасында академиялық бағдарламалар бойынша оқу үшін үміткерлер өз қаражаты есебінен DAAD комиссиясымен әңгімелесуден өтеді.</w:t>
      </w:r>
    </w:p>
    <w:p>
      <w:pPr>
        <w:spacing w:after="0"/>
        <w:ind w:left="0"/>
        <w:jc w:val="both"/>
      </w:pPr>
      <w:r>
        <w:rPr>
          <w:rFonts w:ascii="Times New Roman"/>
          <w:b w:val="false"/>
          <w:i w:val="false"/>
          <w:color w:val="000000"/>
          <w:sz w:val="28"/>
        </w:rPr>
        <w:t>
      Бірінші шектілік деңгейі – Қазақстан Республикасының аумағында тілдік курстарға жіберу үшін.</w:t>
      </w:r>
    </w:p>
    <w:p>
      <w:pPr>
        <w:spacing w:after="0"/>
        <w:ind w:left="0"/>
        <w:jc w:val="both"/>
      </w:pPr>
      <w:r>
        <w:rPr>
          <w:rFonts w:ascii="Times New Roman"/>
          <w:b w:val="false"/>
          <w:i w:val="false"/>
          <w:color w:val="000000"/>
          <w:sz w:val="28"/>
        </w:rPr>
        <w:t>
      Екінші шектілік деңгейі – шетелге тілдік курстарға жіберу үшін.</w:t>
      </w:r>
    </w:p>
    <w:p>
      <w:pPr>
        <w:spacing w:after="0"/>
        <w:ind w:left="0"/>
        <w:jc w:val="both"/>
      </w:pPr>
      <w:r>
        <w:rPr>
          <w:rFonts w:ascii="Times New Roman"/>
          <w:b w:val="false"/>
          <w:i w:val="false"/>
          <w:color w:val="000000"/>
          <w:sz w:val="28"/>
        </w:rPr>
        <w:t xml:space="preserve">
      Үшінші шектілік деңгейі – академиялық оқуға жіберу үшін. </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шет тілін меңгерудің жалпыеуропалық құзыреттілік стандарты; </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Czech Certificate Exam (CCE)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xml:space="preserve">
      DET (Duolingo English Test) (Дуолинго Инглиш Тест) – бейне әңгімелесу және нәтижелерді жылдам өңдеу арқылы ағылшын тілін білуді анықтауға арналған онлайн-тест; </w:t>
      </w:r>
    </w:p>
    <w:p>
      <w:pPr>
        <w:spacing w:after="0"/>
        <w:ind w:left="0"/>
        <w:jc w:val="both"/>
      </w:pPr>
      <w:r>
        <w:rPr>
          <w:rFonts w:ascii="Times New Roman"/>
          <w:b w:val="false"/>
          <w:i w:val="false"/>
          <w:color w:val="000000"/>
          <w:sz w:val="28"/>
        </w:rPr>
        <w:t xml:space="preserve">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xml:space="preserve">
      IELTS (International English Language Testing System – Интернэйшэнал Инглиш Лэнгуич Тестинг Систэм) – ағылшын тілін білуді тестілеудің халықаралық жүйесі; </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 деңгейін білу бойынша емтихан;</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 деңгейін анықтау бойынша емтихан;</w:t>
      </w:r>
    </w:p>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голланд тілін шет тілі ретінде білу сертификаты;</w:t>
      </w:r>
    </w:p>
    <w:p>
      <w:pPr>
        <w:spacing w:after="0"/>
        <w:ind w:left="0"/>
        <w:jc w:val="both"/>
      </w:pPr>
      <w:r>
        <w:rPr>
          <w:rFonts w:ascii="Times New Roman"/>
          <w:b w:val="false"/>
          <w:i w:val="false"/>
          <w:color w:val="000000"/>
          <w:sz w:val="28"/>
        </w:rPr>
        <w:t xml:space="preserve">
      Prøve i Dansk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 </w:t>
      </w:r>
    </w:p>
    <w:p>
      <w:pPr>
        <w:spacing w:after="0"/>
        <w:ind w:left="0"/>
        <w:jc w:val="both"/>
      </w:pPr>
      <w:r>
        <w:rPr>
          <w:rFonts w:ascii="Times New Roman"/>
          <w:b w:val="false"/>
          <w:i w:val="false"/>
          <w:color w:val="000000"/>
          <w:sz w:val="28"/>
        </w:rPr>
        <w:t>
      Studieprøven – дат тілін шет тілі ретінде білуге арналған емтихан;</w:t>
      </w:r>
    </w:p>
    <w:p>
      <w:pPr>
        <w:spacing w:after="0"/>
        <w:ind w:left="0"/>
        <w:jc w:val="both"/>
      </w:pPr>
      <w:r>
        <w:rPr>
          <w:rFonts w:ascii="Times New Roman"/>
          <w:b w:val="false"/>
          <w:i w:val="false"/>
          <w:color w:val="000000"/>
          <w:sz w:val="28"/>
        </w:rPr>
        <w:t xml:space="preserve">
      SWEDEX – бұл швед тілінен екі халықаралық емтиханның біреуі. Бұл емтихан Еуропа кеңесі әзірлеген шкала бойынша А2, В1, В2 және С1 деңгейінде қабылданады; </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