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c0a9" w14:textId="a75c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"Парниктік газдар шығарындылары мен сіңірулері саласындағы мемлекеттік реттеу қағидаларын бекіту туралы" Қазақстан Республикасы Экология, геология және табиғи ресурстар министрінің 2022 жылғы 28 наурыздағы № 91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2023 жылғы 15 ақпандағы № 46 бұйрығы. Қазақстан Республикасының Әділет министрлігінде 2023 жылғы 17 ақпанда № 31922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"Парниктік газдар шығарындылары мен сіңірулері саласындағы мемлекеттік реттеу қағидаларын бекіту туралы" Қазақстан Экология, геология және табиғи ресурстар министрінің 2022 жылғы 28 наурыздағы № 91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27301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Парниктік газдар шығарындылары мен сіңірулері саласындағы мемлекеттік реттеу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Квоталау субъектісі мониторинг жоспарына келесі жағдайларда өзгерістер енгізеді: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кез келген қызметтен (көзден) шығарындыларды есептеу әдісін (теңдеуін) немесе параметрлерін өзгерткенде;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мониторингі валидацияланған мониторинг жоспарынан ерекшеленетін жаңа қызметті (көздерді) қосқанда;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мониторингі (деректер мен коэффициенттер) валидацияланған жоспарда көрсетілмеген отынды қосқанда.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Жанармайдың жалпы балансының 1%-дан азын алатын отынның жаңа түрі қосылса, бақылау жоспарына өзгерістер енгізілмейді;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бұрын қолданылған мониторинг әдіснамасы нәтижесінде алынған деректерді уәкілетті орган дұрыс емес деп таныған жағдайларда;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егер осы процедуралардың өзгеруі шығарындылар туралы деректердің дәлдігіне тікелей әсер етсе, сынамаларды іріктеумен және талдаумен немесе өлшеу аспаптарын калибрлеумен байланысты жаңа процедураларды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алдыңғы мониторинг жоспарын валидациялаған органнан аккредиттеу туралы аттестатты кері қайтарып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квоталау субъектісінің есептік деректерінің дәлдігін жақсарту немесе валидация жөніндегі органның қорытындысына жауап ретінде."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Климаттық саясат және жасыл технологиялар департаменті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 және табиғи ресурстар министрлігінің ресми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тіркегеннен кейін он жұмыс күні ішінде Қазақстан Республикасы Экология 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орындалауы туралы мәліметтердің ұсынылуын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инфрақұрылымдық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Стратегиялық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және реформалар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