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4499" w14:textId="4c14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 Бас Прокурорының 2018 жылғы 10 желтоқсандағы № 135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14 ақпандағы № 57 бұйрығы. Қазақстан Республикасының Әділет министрлігінде 2023 жылғы 17 ақпанда № 31927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 Бас Прокурорының 2018 жылғы 10 желтоқсандағы № 135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17918 болып тіркелген) келесі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5" w:id="2"/>
    <w:p>
      <w:pPr>
        <w:spacing w:after="0"/>
        <w:ind w:left="0"/>
        <w:jc w:val="both"/>
      </w:pPr>
      <w:r>
        <w:rPr>
          <w:rFonts w:ascii="Times New Roman"/>
          <w:b w:val="false"/>
          <w:i w:val="false"/>
          <w:color w:val="000000"/>
          <w:sz w:val="28"/>
        </w:rPr>
        <w:t>
      "3. Тауарларды (жұмыстарды, көрсетілетін қызметтерді) ұсыну бойынша Академияның ақылы қызмет түрлеріне мыналар:</w:t>
      </w:r>
    </w:p>
    <w:bookmarkEnd w:id="2"/>
    <w:p>
      <w:pPr>
        <w:spacing w:after="0"/>
        <w:ind w:left="0"/>
        <w:jc w:val="both"/>
      </w:pPr>
      <w:r>
        <w:rPr>
          <w:rFonts w:ascii="Times New Roman"/>
          <w:b w:val="false"/>
          <w:i w:val="false"/>
          <w:color w:val="000000"/>
          <w:sz w:val="28"/>
        </w:rPr>
        <w:t>
      1) қосымша білім беру бағдарламаларын, оның ішінде шетелдіктер үшін әзірлеу, іске асыру (кәсіптік даярлау, қайта даярлау және біліктілігін арттыру, қабылдау емтиханына дайындау);</w:t>
      </w:r>
    </w:p>
    <w:p>
      <w:pPr>
        <w:spacing w:after="0"/>
        <w:ind w:left="0"/>
        <w:jc w:val="both"/>
      </w:pPr>
      <w:r>
        <w:rPr>
          <w:rFonts w:ascii="Times New Roman"/>
          <w:b w:val="false"/>
          <w:i w:val="false"/>
          <w:color w:val="000000"/>
          <w:sz w:val="28"/>
        </w:rPr>
        <w:t>
      2) ғылыми зерттеулер және тәжірибелік-конструкторлық жұмыстар жүргізу;</w:t>
      </w:r>
    </w:p>
    <w:p>
      <w:pPr>
        <w:spacing w:after="0"/>
        <w:ind w:left="0"/>
        <w:jc w:val="both"/>
      </w:pPr>
      <w:r>
        <w:rPr>
          <w:rFonts w:ascii="Times New Roman"/>
          <w:b w:val="false"/>
          <w:i w:val="false"/>
          <w:color w:val="000000"/>
          <w:sz w:val="28"/>
        </w:rPr>
        <w:t>
      3) оқу-әдістемелік, баспа және полиграфиялық өнімдерді әзірлеу және (немесе) өткізу;</w:t>
      </w:r>
    </w:p>
    <w:p>
      <w:pPr>
        <w:spacing w:after="0"/>
        <w:ind w:left="0"/>
        <w:jc w:val="both"/>
      </w:pPr>
      <w:r>
        <w:rPr>
          <w:rFonts w:ascii="Times New Roman"/>
          <w:b w:val="false"/>
          <w:i w:val="false"/>
          <w:color w:val="000000"/>
          <w:sz w:val="28"/>
        </w:rPr>
        <w:t>
      4) мемлекеттік жалпыға білім беру стандарттары талаптарынан тыс жоғары оқу орнынан кейінгі білім беру бағдарламаларын іске асыру, оның ішінде ақылы негізде өзге азаматтық жоғары білім беру мекемелері докторанттарының пререквизиттер мен постреквизиттерді тапсыруы, диссертация қорғауы, сондай-ақ шетелдіктер үшін;</w:t>
      </w:r>
    </w:p>
    <w:p>
      <w:pPr>
        <w:spacing w:after="0"/>
        <w:ind w:left="0"/>
        <w:jc w:val="both"/>
      </w:pPr>
      <w:r>
        <w:rPr>
          <w:rFonts w:ascii="Times New Roman"/>
          <w:b w:val="false"/>
          <w:i w:val="false"/>
          <w:color w:val="000000"/>
          <w:sz w:val="28"/>
        </w:rPr>
        <w:t>
      5) көрмелердің, семинарлардың, конференциялардың, кеңестердің, форумдардың, симпозиумдардың, курстардың, тренингтердің, дөңгелек үстелдердің және өзге де іс-шаралардың материалдарын өткізу, сондай-ақ көрсетілген іс-шараларды (оның ішінде онлайн өткізуді) ұйымдастыру, өткізу немесе осындай шараларға дәрісші ретінде қатысу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7" w:id="3"/>
    <w:p>
      <w:pPr>
        <w:spacing w:after="0"/>
        <w:ind w:left="0"/>
        <w:jc w:val="both"/>
      </w:pPr>
      <w:r>
        <w:rPr>
          <w:rFonts w:ascii="Times New Roman"/>
          <w:b w:val="false"/>
          <w:i w:val="false"/>
          <w:color w:val="000000"/>
          <w:sz w:val="28"/>
        </w:rPr>
        <w:t>
      "9. Тауарларды (жұмыстарды, көрсетілетін қызметтерді) өткізуден түсетін ақшалай қаражат мынадай:</w:t>
      </w:r>
    </w:p>
    <w:bookmarkEnd w:id="3"/>
    <w:p>
      <w:pPr>
        <w:spacing w:after="0"/>
        <w:ind w:left="0"/>
        <w:jc w:val="both"/>
      </w:pPr>
      <w:r>
        <w:rPr>
          <w:rFonts w:ascii="Times New Roman"/>
          <w:b w:val="false"/>
          <w:i w:val="false"/>
          <w:color w:val="000000"/>
          <w:sz w:val="28"/>
        </w:rPr>
        <w:t>
      1) зерттеулер жүргізу үшін шығыс материалдарын, жабдықтарды және бағдарламалық қамтамасыз етуді сатып алу;</w:t>
      </w:r>
    </w:p>
    <w:p>
      <w:pPr>
        <w:spacing w:after="0"/>
        <w:ind w:left="0"/>
        <w:jc w:val="both"/>
      </w:pPr>
      <w:r>
        <w:rPr>
          <w:rFonts w:ascii="Times New Roman"/>
          <w:b w:val="false"/>
          <w:i w:val="false"/>
          <w:color w:val="000000"/>
          <w:sz w:val="28"/>
        </w:rPr>
        <w:t>
      2) баспа және полиграфиялық өнімдерді дайындау мақсатында шығыс материалдары мен жабдықтарын сатып алу;</w:t>
      </w:r>
    </w:p>
    <w:p>
      <w:pPr>
        <w:spacing w:after="0"/>
        <w:ind w:left="0"/>
        <w:jc w:val="both"/>
      </w:pPr>
      <w:r>
        <w:rPr>
          <w:rFonts w:ascii="Times New Roman"/>
          <w:b w:val="false"/>
          <w:i w:val="false"/>
          <w:color w:val="000000"/>
          <w:sz w:val="28"/>
        </w:rPr>
        <w:t>
      3) оқу процесін ұйымдастыру үшін оқу құралдарын, көрнекі материалдар, сондай-ақ жабдықтар, техникалық оқыту құралдарын сатып алу;</w:t>
      </w:r>
    </w:p>
    <w:p>
      <w:pPr>
        <w:spacing w:after="0"/>
        <w:ind w:left="0"/>
        <w:jc w:val="both"/>
      </w:pPr>
      <w:r>
        <w:rPr>
          <w:rFonts w:ascii="Times New Roman"/>
          <w:b w:val="false"/>
          <w:i w:val="false"/>
          <w:color w:val="000000"/>
          <w:sz w:val="28"/>
        </w:rPr>
        <w:t>
      4) докторанттардың ғылыми зерттеулерінің, диссертациялық зерттеулерінің жарияланымдарын дайындау және нәтижелерін жариялау;</w:t>
      </w:r>
    </w:p>
    <w:p>
      <w:pPr>
        <w:spacing w:after="0"/>
        <w:ind w:left="0"/>
        <w:jc w:val="both"/>
      </w:pPr>
      <w:r>
        <w:rPr>
          <w:rFonts w:ascii="Times New Roman"/>
          <w:b w:val="false"/>
          <w:i w:val="false"/>
          <w:color w:val="000000"/>
          <w:sz w:val="28"/>
        </w:rPr>
        <w:t>
      5) ұжымдық пайдаланудағы ғылыми зертханалардың, зерттеулерді орындау үшін қажетті ұйымдардың көрсетілетін қызметтеріне ақы төлеу, оның ішінде конференцияларға қатысу үшін ұйымдастырушылық жарналар;</w:t>
      </w:r>
    </w:p>
    <w:p>
      <w:pPr>
        <w:spacing w:after="0"/>
        <w:ind w:left="0"/>
        <w:jc w:val="both"/>
      </w:pPr>
      <w:r>
        <w:rPr>
          <w:rFonts w:ascii="Times New Roman"/>
          <w:b w:val="false"/>
          <w:i w:val="false"/>
          <w:color w:val="000000"/>
          <w:sz w:val="28"/>
        </w:rPr>
        <w:t>
      6) ғылыми зерттеулер жүргізу, оқу-әдістемелік құралдар (әдістемелік, практикалық ұсынымдар) әзірлеу, ведомстволық журналдардың макеттерін дайындау шеңберінде редактор, корректор, дизайнер, беттеуші (мемлекеттік және шет тілдеріне) қызметтеріне ақы төлеу;</w:t>
      </w:r>
    </w:p>
    <w:p>
      <w:pPr>
        <w:spacing w:after="0"/>
        <w:ind w:left="0"/>
        <w:jc w:val="both"/>
      </w:pPr>
      <w:r>
        <w:rPr>
          <w:rFonts w:ascii="Times New Roman"/>
          <w:b w:val="false"/>
          <w:i w:val="false"/>
          <w:color w:val="000000"/>
          <w:sz w:val="28"/>
        </w:rPr>
        <w:t>
      7) зерттеу жүргізу үшін үй-жайларды, жабдықтарды, техниканы жалға алу;</w:t>
      </w:r>
    </w:p>
    <w:p>
      <w:pPr>
        <w:spacing w:after="0"/>
        <w:ind w:left="0"/>
        <w:jc w:val="both"/>
      </w:pPr>
      <w:r>
        <w:rPr>
          <w:rFonts w:ascii="Times New Roman"/>
          <w:b w:val="false"/>
          <w:i w:val="false"/>
          <w:color w:val="000000"/>
          <w:sz w:val="28"/>
        </w:rPr>
        <w:t>
      8) зерттеу процесінде пайдаланылатын жабдықтар мен техниканы күтіп- ұстау;</w:t>
      </w:r>
    </w:p>
    <w:p>
      <w:pPr>
        <w:spacing w:after="0"/>
        <w:ind w:left="0"/>
        <w:jc w:val="both"/>
      </w:pPr>
      <w:r>
        <w:rPr>
          <w:rFonts w:ascii="Times New Roman"/>
          <w:b w:val="false"/>
          <w:i w:val="false"/>
          <w:color w:val="000000"/>
          <w:sz w:val="28"/>
        </w:rPr>
        <w:t>
      9) барлық салықтарды және бюджетке төленетін басқа да міндетті төлемдерді қоса алғанда, ғылыми зерттеу жүргізуге қатысатын зерттеу тобы басшысының және мүшелерінің, ведомстволық журналдардың редакциялық алқалары мүшелерінің еңбегі үшін сыйақы;</w:t>
      </w:r>
    </w:p>
    <w:p>
      <w:pPr>
        <w:spacing w:after="0"/>
        <w:ind w:left="0"/>
        <w:jc w:val="both"/>
      </w:pPr>
      <w:r>
        <w:rPr>
          <w:rFonts w:ascii="Times New Roman"/>
          <w:b w:val="false"/>
          <w:i w:val="false"/>
          <w:color w:val="000000"/>
          <w:sz w:val="28"/>
        </w:rPr>
        <w:t>
      10) ақылы негізде көрсетілетін қызметтер мен жұмыстарды іске асыру үшін тартылатын мамандарға еңбекақы, Академия қызметкерлеріне сыйақы төлеу;</w:t>
      </w:r>
    </w:p>
    <w:p>
      <w:pPr>
        <w:spacing w:after="0"/>
        <w:ind w:left="0"/>
        <w:jc w:val="both"/>
      </w:pPr>
      <w:r>
        <w:rPr>
          <w:rFonts w:ascii="Times New Roman"/>
          <w:b w:val="false"/>
          <w:i w:val="false"/>
          <w:color w:val="000000"/>
          <w:sz w:val="28"/>
        </w:rPr>
        <w:t>
      11) ғылыми-білім беру іс-шараларын (конференциялар, семинарлар, дөңгелек үстелдер) өткізу, кофе-брейк ұйымдастырып, кәдесый, геральдикалық өнім, естелік сыйлықтарды қоса сатып алу;</w:t>
      </w:r>
    </w:p>
    <w:p>
      <w:pPr>
        <w:spacing w:after="0"/>
        <w:ind w:left="0"/>
        <w:jc w:val="both"/>
      </w:pPr>
      <w:r>
        <w:rPr>
          <w:rFonts w:ascii="Times New Roman"/>
          <w:b w:val="false"/>
          <w:i w:val="false"/>
          <w:color w:val="000000"/>
          <w:sz w:val="28"/>
        </w:rPr>
        <w:t>
      12) ғылыми зерттеулер жүргізу шеңберінде банк қызметтеріне ақы төлеу;</w:t>
      </w:r>
    </w:p>
    <w:p>
      <w:pPr>
        <w:spacing w:after="0"/>
        <w:ind w:left="0"/>
        <w:jc w:val="both"/>
      </w:pPr>
      <w:r>
        <w:rPr>
          <w:rFonts w:ascii="Times New Roman"/>
          <w:b w:val="false"/>
          <w:i w:val="false"/>
          <w:color w:val="000000"/>
          <w:sz w:val="28"/>
        </w:rPr>
        <w:t>
      13) оқу-материалдық базаны нығайту;</w:t>
      </w:r>
    </w:p>
    <w:p>
      <w:pPr>
        <w:spacing w:after="0"/>
        <w:ind w:left="0"/>
        <w:jc w:val="both"/>
      </w:pPr>
      <w:r>
        <w:rPr>
          <w:rFonts w:ascii="Times New Roman"/>
          <w:b w:val="false"/>
          <w:i w:val="false"/>
          <w:color w:val="000000"/>
          <w:sz w:val="28"/>
        </w:rPr>
        <w:t>
      14) қосымша оқу бағдарламалары бойынша оқу процесін ұйымдастыру, оқыту тренингтерін, семинарларын өткізу;</w:t>
      </w:r>
    </w:p>
    <w:p>
      <w:pPr>
        <w:spacing w:after="0"/>
        <w:ind w:left="0"/>
        <w:jc w:val="both"/>
      </w:pPr>
      <w:r>
        <w:rPr>
          <w:rFonts w:ascii="Times New Roman"/>
          <w:b w:val="false"/>
          <w:i w:val="false"/>
          <w:color w:val="000000"/>
          <w:sz w:val="28"/>
        </w:rPr>
        <w:t>
      15) Академияның оқу, ғылыми және әдістемелік материалдарын, ведомстволық журналдарын басып шығару;</w:t>
      </w:r>
    </w:p>
    <w:p>
      <w:pPr>
        <w:spacing w:after="0"/>
        <w:ind w:left="0"/>
        <w:jc w:val="both"/>
      </w:pPr>
      <w:r>
        <w:rPr>
          <w:rFonts w:ascii="Times New Roman"/>
          <w:b w:val="false"/>
          <w:i w:val="false"/>
          <w:color w:val="000000"/>
          <w:sz w:val="28"/>
        </w:rPr>
        <w:t>
      16) Академия қызметкерлерінің біліктілігін арттыру;</w:t>
      </w:r>
    </w:p>
    <w:p>
      <w:pPr>
        <w:spacing w:after="0"/>
        <w:ind w:left="0"/>
        <w:jc w:val="both"/>
      </w:pPr>
      <w:r>
        <w:rPr>
          <w:rFonts w:ascii="Times New Roman"/>
          <w:b w:val="false"/>
          <w:i w:val="false"/>
          <w:color w:val="000000"/>
          <w:sz w:val="28"/>
        </w:rPr>
        <w:t xml:space="preserve">
      17)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қаулысында</w:t>
      </w:r>
      <w:r>
        <w:rPr>
          <w:rFonts w:ascii="Times New Roman"/>
          <w:b w:val="false"/>
          <w:i w:val="false"/>
          <w:color w:val="000000"/>
          <w:sz w:val="28"/>
        </w:rPr>
        <w:t xml:space="preserve"> белгіленген іс-сапар шығыстарын өтеу нормалары шегінде іс-сапар шығыстары, оның ішінде халықаралық іс-сапар шығыстары;</w:t>
      </w:r>
    </w:p>
    <w:p>
      <w:pPr>
        <w:spacing w:after="0"/>
        <w:ind w:left="0"/>
        <w:jc w:val="both"/>
      </w:pPr>
      <w:r>
        <w:rPr>
          <w:rFonts w:ascii="Times New Roman"/>
          <w:b w:val="false"/>
          <w:i w:val="false"/>
          <w:color w:val="000000"/>
          <w:sz w:val="28"/>
        </w:rPr>
        <w:t>
      18) бейнероликтер, бейнефильмдер, аудиожазбалар дайындау;</w:t>
      </w:r>
    </w:p>
    <w:p>
      <w:pPr>
        <w:spacing w:after="0"/>
        <w:ind w:left="0"/>
        <w:jc w:val="both"/>
      </w:pPr>
      <w:r>
        <w:rPr>
          <w:rFonts w:ascii="Times New Roman"/>
          <w:b w:val="false"/>
          <w:i w:val="false"/>
          <w:color w:val="000000"/>
          <w:sz w:val="28"/>
        </w:rPr>
        <w:t>
      19) ғылыми-білім беру іс-шараларына, жарыстарға, олимпиадаларға, оның ішінде халықаралық жарыстарға қатысушылардың тамақтануына арналған шығыстарды жабу;</w:t>
      </w:r>
    </w:p>
    <w:p>
      <w:pPr>
        <w:spacing w:after="0"/>
        <w:ind w:left="0"/>
        <w:jc w:val="both"/>
      </w:pPr>
      <w:r>
        <w:rPr>
          <w:rFonts w:ascii="Times New Roman"/>
          <w:b w:val="false"/>
          <w:i w:val="false"/>
          <w:color w:val="000000"/>
          <w:sz w:val="28"/>
        </w:rPr>
        <w:t>
      20) көлік қызметтеріне ақы төлеу;</w:t>
      </w:r>
    </w:p>
    <w:p>
      <w:pPr>
        <w:spacing w:after="0"/>
        <w:ind w:left="0"/>
        <w:jc w:val="both"/>
      </w:pPr>
      <w:r>
        <w:rPr>
          <w:rFonts w:ascii="Times New Roman"/>
          <w:b w:val="false"/>
          <w:i w:val="false"/>
          <w:color w:val="000000"/>
          <w:sz w:val="28"/>
        </w:rPr>
        <w:t>
      21) кітапхана қорларын толықтыру үшін электрондық коллекциялар мен дерекқорларды сатып алу;</w:t>
      </w:r>
    </w:p>
    <w:p>
      <w:pPr>
        <w:spacing w:after="0"/>
        <w:ind w:left="0"/>
        <w:jc w:val="both"/>
      </w:pPr>
      <w:r>
        <w:rPr>
          <w:rFonts w:ascii="Times New Roman"/>
          <w:b w:val="false"/>
          <w:i w:val="false"/>
          <w:color w:val="000000"/>
          <w:sz w:val="28"/>
        </w:rPr>
        <w:t>
      22) ғылыми еңбектерді, құралдарды, ведомстволық журналдар макеттерін рецензиялау, түзету, редакторлық оқу бағыттары бойынша жұмсалады.".</w:t>
      </w:r>
    </w:p>
    <w:bookmarkStart w:name="z8" w:id="4"/>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(бұдан әрі - Академия):</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Академия ректорына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