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14e5" w14:textId="e9c1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Тұрақты жұмыс істейтін референциялы станцияларды орнату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14 наурыздағы № 91/НҚ бұйрығы. Қазақстан Республикасының Әділет министрлігінде 2023 жылғы 17 наурызда № 32093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"Геодезия, картография және кеңістіктік деректер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Тұрақты жұмыс істейтін референциялы станцияларды орнату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жұмыс істейтін референциялы станцияларды орнату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Тұрақты жұмыс істейтін референциялы станцияларды орнату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"Геодезия, картография және кеңістіктік деректер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 және Қазақстан Республикасында тұрақты жұмыс істейтін референциялы станцияларды орнатуға қойылатын бірыңғай талаптарды қамтиды.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дәлдігі жоғары геодезиялық желі (бұдан әрі – ДЖГЖ) – кеңістіктік координаттары іргелі астрономиялық-геодезиялық желі пункттеріне қатысты айқындалатын аралас геодезиялық пункттер арасындағы орташа қашықтығы 150-300 км болатын спутниктік геодезиялық желі;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жаһандық навигациялық спутниктік жүйелер (бұдан әрі – ЖНСЖ) – жерүсті, су және әуе объектілерінің координаттық-уақыттық (географиялық координаттары мен биіктіктерінің, қозғалыс жылдамдығы мен бағытының, уақыттың) параметрлерін айқындауға арналған ғарыш жүйелері;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геодезиялық желі (бұдан әрі – МГЖ) – мемлекеттік координаттық есептеу жүйесін белгілеу және (немесе) тарату мақсатында пайдаланылатын геодезиялық желі;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"Мемлекеттік геодезиялық қамтамасыз ету" ақпараттық жүйесі (бұдан әрі – "МГҚ" АЖ) – референттік станциялардан техникалық навигациялық ақпаратты қабылдауға, өңдеуге, Қазақстан Республикасының жаңартылған геодезиялық қамтамасыз ету жүйесінің барлық геодезиялық, нивелирлік, гравиметриялық деректерін өңдеуге және сақтауға арналған ақпараттық жүйе;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тұрақты жұмыс істейтін референциялы станциялар (бұдан әрі – референциялы станциялар) – белгілі кеңістіктік координаттары бар нүктеде орналасқан радиоэлектрондық және техникалық құралдардың кешені, олардың көмегімен жаһандық навигациялық спутниктік жүйелердің сигналдарын кейіннен өңдеу және пайдаланушыларға түзетуші ақпаратты беру үшін қабылдау жүзеге асырылады;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іргелі астрономиялық-геодезиялық желі (бұдан әрі – ІАГЖ) – координаттары координаттардың геоцентрикалық кеңістіктік жүйесінде айқындалатын шектес геодезиялық пункттер арасындағы орташа қашықтықтағы 650-1000 километр спутниктік геодезиялық желі.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Референциялы станцияларды Қазақстан Республикасының жеке және заңды тұлғалары геодезиялық және картографиялық қызметті орындау үшін белгілейді және қабылдағыштан, ЖНСЖ-антеннадан, үздіксіз қоректендіру көзінен, темір шкафтан, телекоммуникация құралынан (байланыс құралдарынан), найзағай бұрғыштан тұрады.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Референциялы станция ЖНСЖ келетін деректерді қабылдауға, өңдеуге және сақтауға, сондай-ақ осы деректерді "МГҚ" АЖ-ға және түзету ақпаратын геодезиялық және картографиялық қызмет субъектілеріне беруге арналған.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Референциялы станция ұлттық кеңістіктік деректер инфрақұрылымы шеңберінде ІАГЖ және ДЖГЖ жұмыс орталықтарында орнатылады.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Референциялы станция профилактикалық және жөндеу жұмыстарын жүргізу кезеңдерін қоспағанда, тәулігіне 24 (жиырма төрт) сағат, аптасына 7 (жеті) күн үздіксіз жұмыс істейтін тұрақты станциялар болып табылады.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Тұрақты жұмыс істейтін референциялы станцияларды орнату тәртібі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жеке және заңды тұлғалары референциялы станцияны орнату алдында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референттік станцияны орнату туралы геодезия, картография және кеңістіктік деректер саласындағы уәкілетті органды хабардар етеді.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Геодезия, картография және кеңістіктік деректер саласындағы уәкілетті орган белгіленген референциялы станциялардың есебін жүргізеді.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Референциялы станциялар: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"Геодезия, картография және кеңістіктік деректер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геодезия, картография және кеңістіктік деректер саласындағы уәкілетті орган бекітетін Қазақстан Республикасының мемлекеттік геодезиялық нивелирлік, гравиметриялық желілерін құру және дамыту жөніндегі нұсқаулықтың талаптарына сәйкес дайындалған және белгіленген конструкцияларда;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спутниктік бақылауларды орындау үшін мынадай оңтайлы шарттармен: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экрандау объектілерінің ең аз саны тұрған ашық жерде орналасуы (спутниктік сигналдарды алуға кедергі келтіретін ғимараттар мен 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кіру немесе жақындау үшін қол жетімді жерде орналасқан жерде;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визуалды түрде танылған жерде;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жолақты сәуле таралу әсерін және әртүрлі кедергі көздерін растаусыз;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тәуліктің кез келген уақытында жыл бойы бақылауларды орындау мүмкіндігімен орнатылады.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Елді мекендерде референциялы станциялар 7 (жеті) жылдан астам уақыт тұрған, кірпіш, тас, бетон және темірбетон ғимараттары мен құрылыстарының негізгі көтергіш элементтеріне орнатылады.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Референциялы станциялар ғимараттар мен құрылыстарға қабырғаға жарықтар түсірмей мен іргетасты бұзбай орнатылады.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Референциялы станция көп жүйелік және көп жиілікті қабылдағыштармен жабдықталған.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Қабылдағыш бір мезгілде кемінде 10 (он) спутниктен сигналдарды қабылдайды және шаң мен ылғалдан қорғайтын арнайы темір шкафтарда үй-жайда немесе құрылыста орнатылады.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Референциялы станция тербелістерден және қуаттың бұзылуынан қорғалған резервтік қуатпен жабдықталады.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ІАГЖ және ДЖГЖ барлық ЖНСЖ-антенналарын бірыңғай орнату қолданылады.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Референциялы станцияны найзағайдан қорғау үшін кіріктірілген разрядтағышты қолдана отырып, найзағай өткізгіштер орнатылады.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референциялы станцияларды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жұмыс істейтін референциялы станцияларды орнату туралы хабарлама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(мемлекеттік органның толық атауы)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Осымен _________________________________________________________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толық атауы, бизнес-сәйкестендіру нөмірі,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жұмыс істейтін референциялы станциялардың орнатылатынын хабарлайды.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тұлғаның/жеке тұлғаның орналасқан мекенжайы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(пошта индексі, облысы, қаласы, ауданы, елді мекені, көше атауы,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үй/ғимарат (станционарлық үй-жай нөмірі)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пошта 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 нөмірлері _______________________________________________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Тұрақты жұмыс істейтін референциялы станциялар орнатылатын мекенжай (-лар)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(пошта индексі, облыс, қала, аудан, елді мекен, көше атауы, үйдің/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(стационарлық үй-жайдың нөмірі)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Өтініш беруші ___________________________________________________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мен уақыты: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