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eb9f" w14:textId="f14e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"Куәландырушы орталықта электрондық цифрлық қолтаңбаның жабық кілттерін жасау, пайдалану және сақтау қағидаларын бекіту туралы" Қазақстан Республикасы Цифрлық даму, инновациялар және аэроғарыш өнеркәсібі министрінің 2020 жылғы 27 қазандағы № 405/НҚ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17 наурыздағы № 95/НҚ бұйрығы. Қазақстан Республикасының Әділет министрлігінде 2023 жылғы 28 наурызда № 32129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"Куәландырушы орталықта электрондық цифрлық қолтаңбаның жабық кілттерін жасау, пайдалану және сақтау қағидаларын бекіту туралы" Қазақстан Республикасы Цифрлық даму, инновациялар және аэроғарыш өнеркәсібі министрінің 2020 жылғы 27 қазандағы № 405/НҚ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21549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Куәландырушы орталықта электрондық цифрлық қолтаңбаның жабық кілттерін жасау, пайдалану және сақтау қағидаларын бекіту туралы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 Осы куәландырушы орталықта электрондық цифрлық қолтаңбаның жабық кілттерін жасау, сақтау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"Электрондық құжат және электрондық цифрлық қолтаңба туралы" Қазақстан Республикасының Заңына сәйкес әзірленді және бұлтты сервистерде электрондық цифрлық қолтаңбаның жабық кілттерін жасау, пайдалану және сақтау тәртібін айқындайды.</w:t>
      </w:r>
    </w:p>
    <w:bookmarkEnd w:id="2"/>
    <w:bookmarkStart w:name="z6" w:id="3"/>
    <w:p>
      <w:pPr>
        <w:spacing w:after="0"/>
        <w:ind w:left="0"/>
        <w:jc w:val="both"/>
      </w:pPr>
      <w:r>
        <w:rPr>
          <w:rFonts w:ascii="Times New Roman"/>
          <w:b w:val="false"/>
          <w:i w:val="false"/>
          <w:color w:val="000000"/>
          <w:sz w:val="28"/>
        </w:rPr>
        <w:t>
      2. Осы Қағидаларда мынадай ұғымдар қолданылады:</w:t>
      </w:r>
    </w:p>
    <w:bookmarkEnd w:id="3"/>
    <w:p>
      <w:pPr>
        <w:spacing w:after="0"/>
        <w:ind w:left="0"/>
        <w:jc w:val="both"/>
      </w:pPr>
      <w:r>
        <w:rPr>
          <w:rFonts w:ascii="Times New Roman"/>
          <w:b w:val="false"/>
          <w:i w:val="false"/>
          <w:color w:val="000000"/>
          <w:sz w:val="28"/>
        </w:rPr>
        <w:t>
      1) биометриялық сәйкестендіру – жеке басты физиологиялық және биологиялық өзгермейтін белгілері негізінде сәйкестендіретін шаралар кешені;</w:t>
      </w:r>
    </w:p>
    <w:p>
      <w:pPr>
        <w:spacing w:after="0"/>
        <w:ind w:left="0"/>
        <w:jc w:val="both"/>
      </w:pPr>
      <w:r>
        <w:rPr>
          <w:rFonts w:ascii="Times New Roman"/>
          <w:b w:val="false"/>
          <w:i w:val="false"/>
          <w:color w:val="000000"/>
          <w:sz w:val="28"/>
        </w:rPr>
        <w:t xml:space="preserve">
      2) блокчейн – өзара байланысты деректер блоктарының, тұтастығын растаудың берілген алгоритмдері мен шифрлау құралдарының тізбектері базасында деректердің таратылған платформасындағы ақпараттың өзгермеуін қамтамасыз ететін ақпараттық-коммуникациялық технология; </w:t>
      </w:r>
    </w:p>
    <w:p>
      <w:pPr>
        <w:spacing w:after="0"/>
        <w:ind w:left="0"/>
        <w:jc w:val="both"/>
      </w:pPr>
      <w:r>
        <w:rPr>
          <w:rFonts w:ascii="Times New Roman"/>
          <w:b w:val="false"/>
          <w:i w:val="false"/>
          <w:color w:val="000000"/>
          <w:sz w:val="28"/>
        </w:rPr>
        <w:t>
      3) көп факторлы сәйкестендіру – парольдерді немесе сәйкестендіру белгілерін (цифрлық сертификаттар, токендер, смарт-карталар, бір жолғы парольдердің генераторлары және биометриялық сәйкестендіруші құралдар) құру мен енгізуді қоса алғанда, түрлі параметрлер комбинациясының көмегімен пайдаланушының шынайылығын тексеру тәсілі;</w:t>
      </w:r>
    </w:p>
    <w:p>
      <w:pPr>
        <w:spacing w:after="0"/>
        <w:ind w:left="0"/>
        <w:jc w:val="both"/>
      </w:pPr>
      <w:r>
        <w:rPr>
          <w:rFonts w:ascii="Times New Roman"/>
          <w:b w:val="false"/>
          <w:i w:val="false"/>
          <w:color w:val="000000"/>
          <w:sz w:val="28"/>
        </w:rPr>
        <w:t>
      4) куәландырушы орталық (бұдан әрі – КО) – электрондық цифрлық қолтаңбаның ашық кілтінің электрондық цифрлық қолтаңбаның жабық кілтіне сәйкестігін куәландыратын, сондай-ақ тіркеу куәлігінің анықтығын растайтын заңды тұлға;</w:t>
      </w:r>
    </w:p>
    <w:p>
      <w:pPr>
        <w:spacing w:after="0"/>
        <w:ind w:left="0"/>
        <w:jc w:val="both"/>
      </w:pPr>
      <w:r>
        <w:rPr>
          <w:rFonts w:ascii="Times New Roman"/>
          <w:b w:val="false"/>
          <w:i w:val="false"/>
          <w:color w:val="000000"/>
          <w:sz w:val="28"/>
        </w:rPr>
        <w:t>
      5) тіркеу куәлігін иеленуші (бұдан әрі – иеленуші) – өз атына тіркеу куәлігі берілген, тіркеу куәлігінде көрсетілген ашық кілтке сәйкес келетін жабық кілтті құқыққа сыйымды иеленетін жеке немесе заңды тұлға;</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7) ЭЦҚ ашық кілті – кез келген тұлғаға қолжетімді және электрондық құжаттағы электрондық цифрлық қолтаңбаның төлнұсқалығын растауға арналған электрондық цифрлық нышандар дәйектілігі;</w:t>
      </w:r>
    </w:p>
    <w:p>
      <w:pPr>
        <w:spacing w:after="0"/>
        <w:ind w:left="0"/>
        <w:jc w:val="both"/>
      </w:pPr>
      <w:r>
        <w:rPr>
          <w:rFonts w:ascii="Times New Roman"/>
          <w:b w:val="false"/>
          <w:i w:val="false"/>
          <w:color w:val="000000"/>
          <w:sz w:val="28"/>
        </w:rPr>
        <w:t>
      8) ЭЦҚ жабық кілті –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p>
      <w:pPr>
        <w:spacing w:after="0"/>
        <w:ind w:left="0"/>
        <w:jc w:val="both"/>
      </w:pPr>
      <w:r>
        <w:rPr>
          <w:rFonts w:ascii="Times New Roman"/>
          <w:b w:val="false"/>
          <w:i w:val="false"/>
          <w:color w:val="000000"/>
          <w:sz w:val="28"/>
        </w:rPr>
        <w:t>
      9) ЭЦҚ құралдары – электрондық цифрлық қолтаңбаны жасау және оның төлнұсқалығын тексеру үшін пайдаланылатын бағдарламалық және техникалық құралдардың жиынтығы;</w:t>
      </w:r>
    </w:p>
    <w:p>
      <w:pPr>
        <w:spacing w:after="0"/>
        <w:ind w:left="0"/>
        <w:jc w:val="both"/>
      </w:pPr>
      <w:r>
        <w:rPr>
          <w:rFonts w:ascii="Times New Roman"/>
          <w:b w:val="false"/>
          <w:i w:val="false"/>
          <w:color w:val="000000"/>
          <w:sz w:val="28"/>
        </w:rPr>
        <w:t>
      10) бұлтты ЭЦҚ – куәландырушы орталықтың HSM-де электрондық цифрлық қолтаңбаның жабық кілттерін жасауға, пайдалануға, сақтауға және жоюға мүмкіндік беретін сервисі, мұнда жеке кілтке қол жеткізуді иеленуші кемінде екі аутентификация факторы арқылы қашықтан жүзеге асырады, олардың бірі биометриялық болып табылады;</w:t>
      </w:r>
    </w:p>
    <w:p>
      <w:pPr>
        <w:spacing w:after="0"/>
        <w:ind w:left="0"/>
        <w:jc w:val="both"/>
      </w:pPr>
      <w:r>
        <w:rPr>
          <w:rFonts w:ascii="Times New Roman"/>
          <w:b w:val="false"/>
          <w:i w:val="false"/>
          <w:color w:val="000000"/>
          <w:sz w:val="28"/>
        </w:rPr>
        <w:t>
      11) хэш – еркін ұзындықтағы кіріс деректерінің құрылымын белгіленген ұзындықтың бит-ке түрлендіру;</w:t>
      </w:r>
    </w:p>
    <w:p>
      <w:pPr>
        <w:spacing w:after="0"/>
        <w:ind w:left="0"/>
        <w:jc w:val="both"/>
      </w:pPr>
      <w:r>
        <w:rPr>
          <w:rFonts w:ascii="Times New Roman"/>
          <w:b w:val="false"/>
          <w:i w:val="false"/>
          <w:color w:val="000000"/>
          <w:sz w:val="28"/>
        </w:rPr>
        <w:t>
      12) (Hardware Security Module) аппараттық криптографиялық модулі (бұдан әрі – HSM) – ақпаратты шифрлауға және ЭЦҚ ашық және жабық кілттерін басқаруға арналған аппараттық криптографиялық модуль.";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"КО көп факторлы аутентификациясыз бұлтты ЭЦҚ ЭЦҚ жабық кілттерін пайдалана отырып, электрондық құжаттарға қол қою мүмкіндігінің болмауын қамтамасыз етеді".</w:t>
      </w:r>
    </w:p>
    <w:bookmarkEnd w:id="4"/>
    <w:bookmarkStart w:name="z9"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шешімдер департаменті заңнамада белгіленген тәртіппен мыналарды қамтамасыз етсін: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w:t>
      </w:r>
    </w:p>
    <w:bookmarkEnd w:id="7"/>
    <w:bookmarkStart w:name="z12"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