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b020" w14:textId="9c2b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 Қазақстан Республикасы Премьер-Министрінің орынбасары – Қаржы министрінің 2006 жылғы 26 шілдедегі № 273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24 сәуірдегі № 411 бұйрығы. Қазақстан Республикасының Әділет министрлігінде 2023 жылғы 25 сәуірде № 32362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"Аудиторлыққа кандидаттарды аттестаттаудан өткізу қағидаларын бекіту туралы" Қазақстан Республикасы Қаржы министрінің 2006 жылғы 23 тамыздағы № 273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4354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аудиторларға кандидаттарды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1"/>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куәландыратын құжаттың нотариалдық расталған көшірмесі;</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(бар болған жағдайда) ресiмдеу күнi көрсетiледi.";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bookmarkEnd w:id="2"/>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Associate Chartered Accountant (Эсоушиейт Чартерд Экаунтэнт) (ACA-ISAEW (Великобритания) ЭЙСИЭЙ АЙЭСЭЙИДАБЛЮ) – Қауымдастырылған Дипломды Бухгалтер, The Association of Chartered Certified Accountants (Зэ Исоушиэйшн оф Чартерд Сертифаид Экаунтэнтс) (ACCA (Великобритания) ЭЙСИСИЭЙ) – Сертификатталған Бухгалтерлер Қауымдастығы, Certified Public Accountant (Сертифаид Паблик Экаунтэнт) (CPA (США) СИПИЭЙ) – Сертификатталған Мемлекеттік Бухгалтер бухгалтерлік есеп және аудит саласындағы толық біліктіліктерінің бірі бар аудиторларға кандидаттар келесі пәндер бойынша емтихандар тапсырады:</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не лицензиясы бар, не аттестаттаудан өткен аудиторларға кандидаттар "құқық" пәні бойынша емтихан тапсырудан босатылады.</w:t>
      </w:r>
    </w:p>
    <w:p>
      <w:pPr>
        <w:spacing w:after="0"/>
        <w:ind w:left="0"/>
        <w:jc w:val="both"/>
      </w:pPr>
      <w:r>
        <w:rPr>
          <w:rFonts w:ascii="Times New Roman"/>
          <w:b w:val="false"/>
          <w:i w:val="false"/>
          <w:color w:val="000000"/>
          <w:sz w:val="28"/>
        </w:rPr>
        <w:t>
      "Қаржы және бизнесті басқару" The Association of Chartered Certified Accountants (Зэ Исоушиэйшн оф Чартерд Сертифаид Экаунтэнтс) (ACCA (Ұлыбритания) ЭЙСИСИЭЙ) – Сертификатталған Бухгалтерлер Қауымдастығы дипломының "Бизнестің тиімділігін басқару", "Қаржылық есептілік", "Қаржы менеджменті", "Аудит және ілеспе қызметтер", "Кәсіби әдеп" сертификаттары бар аудиторларға үміткерлер тиісті емтихандарды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"25. Емтиханды онлайн режимінде өткізу кезінде, Комиссияның қашықтықтан өткізілетін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өзінің бағдарламасы (платформасы) болады.</w:t>
      </w:r>
    </w:p>
    <w:bookmarkEnd w:id="3"/>
    <w:p>
      <w:pPr>
        <w:spacing w:after="0"/>
        <w:ind w:left="0"/>
        <w:jc w:val="both"/>
      </w:pPr>
      <w:r>
        <w:rPr>
          <w:rFonts w:ascii="Times New Roman"/>
          <w:b w:val="false"/>
          <w:i w:val="false"/>
          <w:color w:val="000000"/>
          <w:sz w:val="28"/>
        </w:rPr>
        <w:t>
      Аудиторлыққа кандидаттардың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аудиторлыққа кандидат үміткер сондай-ақ төменде көрсетілген барлық талаптарға сәйкес келеді:</w:t>
      </w:r>
    </w:p>
    <w:p>
      <w:pPr>
        <w:spacing w:after="0"/>
        <w:ind w:left="0"/>
        <w:jc w:val="both"/>
      </w:pPr>
      <w:r>
        <w:rPr>
          <w:rFonts w:ascii="Times New Roman"/>
          <w:b w:val="false"/>
          <w:i w:val="false"/>
          <w:color w:val="000000"/>
          <w:sz w:val="28"/>
        </w:rPr>
        <w:t>
      1) көшіру және алдау фактісіне жол бермейтін академиялық адалдықты сақтау;</w:t>
      </w:r>
    </w:p>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жылдамдықпен интернетке қосылу мүмкіндігі;</w:t>
      </w:r>
    </w:p>
    <w:p>
      <w:pPr>
        <w:spacing w:after="0"/>
        <w:ind w:left="0"/>
        <w:jc w:val="both"/>
      </w:pPr>
      <w:r>
        <w:rPr>
          <w:rFonts w:ascii="Times New Roman"/>
          <w:b w:val="false"/>
          <w:i w:val="false"/>
          <w:color w:val="000000"/>
          <w:sz w:val="28"/>
        </w:rPr>
        <w:t>
      3) емтихан тапсыру кезінде жұмыс орнында мобильді құралдардың (пейджерлер, ұялы телефондар, планшеттер), сымды және сымсыз құлаққаптардың, шпаргалкалардың, оқулықтардың, әдістемелік әдебиеттердің, жұмыс дәптерлерінің болмауы;</w:t>
      </w:r>
    </w:p>
    <w:p>
      <w:pPr>
        <w:spacing w:after="0"/>
        <w:ind w:left="0"/>
        <w:jc w:val="both"/>
      </w:pPr>
      <w:r>
        <w:rPr>
          <w:rFonts w:ascii="Times New Roman"/>
          <w:b w:val="false"/>
          <w:i w:val="false"/>
          <w:color w:val="000000"/>
          <w:sz w:val="28"/>
        </w:rPr>
        <w:t>
      4) экранның жұмыс үстелін және кандидаттың үстеліндегі қол жетімді заттарды көрсету үшін екі камераны немесе телефоннан екінші қосылуды қамтамасыз ету, сондай-ақ Комиссияға ұсыну үшін кандидаттың өзін-өзі ұстауының бейне жазбасын қамтамасыз ету;</w:t>
      </w:r>
    </w:p>
    <w:p>
      <w:pPr>
        <w:spacing w:after="0"/>
        <w:ind w:left="0"/>
        <w:jc w:val="both"/>
      </w:pPr>
      <w:r>
        <w:rPr>
          <w:rFonts w:ascii="Times New Roman"/>
          <w:b w:val="false"/>
          <w:i w:val="false"/>
          <w:color w:val="000000"/>
          <w:sz w:val="28"/>
        </w:rPr>
        <w:t>
      5) экранды емтихан формасынан басқа бағдарламаларға ауыстырмаңыз, бірлесіп қарау бағдарламаларын, әлеуметтік желілерді, мобильді қосымшаларды, жедел хабар алмасу үшін веб-қызметтерді ашпаңыз.";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"29. Барлық емтихандар бойынша бағалау рәсiмi аяқталғаннан кейiн 10 (он) күннен кешiктiрмей бағаны бекiту туралы шешiм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bookmarkEnd w:id="4"/>
    <w:p>
      <w:pPr>
        <w:spacing w:after="0"/>
        <w:ind w:left="0"/>
        <w:jc w:val="both"/>
      </w:pPr>
      <w:r>
        <w:rPr>
          <w:rFonts w:ascii="Times New Roman"/>
          <w:b w:val="false"/>
          <w:i w:val="false"/>
          <w:color w:val="000000"/>
          <w:sz w:val="28"/>
        </w:rPr>
        <w:t>
      Емтихан қорытындылары жұмыстарды бағалауды бекiткеннен кейiн 3 (үш) жұмыс күні ішінде кандидаттарға жазбаша түрде хабарланады.".</w:t>
      </w:r>
    </w:p>
    <w:bookmarkStart w:name="z12"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14"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