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b55f1" w14:textId="55b55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салу мақсаттары үшін цифрлық майнерлер мен цифрлық майнингтік пулдардың кірістері туралы мәліметтерді ұсыну қағидаларын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м.а. 2023 жылғы 26 сәуірдегі № 166/НҚ бұйрығы. Қазақстан Республикасының Әділет министрлігінде 2023 жылғы 28 сәуірде № 32390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цифрлық активтер туралы" Қазақстан Республикасы Заңының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Цифрлық даму, инновациялар және аэроғарыш өнеркәсібі министрінің м.а. 25.12.2023 </w:t>
      </w:r>
      <w:r>
        <w:rPr>
          <w:rFonts w:ascii="Times New Roman"/>
          <w:b w:val="false"/>
          <w:i w:val="false"/>
          <w:color w:val="000000"/>
          <w:sz w:val="28"/>
        </w:rPr>
        <w:t>№ 663/НҚ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Салық салу мақсаттары үшін цифрлық майнерлер мен цифрлық майнингтік пулдардың кірістері туралы мәліметтерді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Электрондық өнеркәсіпті және цифрлық активтер индустриясын дамыту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Цифрлық даму, инновациялар және аэроғарыш өнеркәсібі министрлігінің және Қазақстан Республикасы Қаржы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алпыс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w:t>
            </w:r>
          </w:p>
          <w:p>
            <w:pPr>
              <w:spacing w:after="20"/>
              <w:ind w:left="20"/>
              <w:jc w:val="both"/>
            </w:pPr>
            <w:r>
              <w:rPr>
                <w:rFonts w:ascii="Times New Roman"/>
                <w:b w:val="false"/>
                <w:i/>
                <w:color w:val="000000"/>
                <w:sz w:val="20"/>
              </w:rPr>
              <w:t>және аэроғарыш өнеркәсібі</w:t>
            </w:r>
          </w:p>
          <w:p>
            <w:pPr>
              <w:spacing w:after="20"/>
              <w:ind w:left="20"/>
              <w:jc w:val="both"/>
            </w:pPr>
            <w:r>
              <w:rPr>
                <w:rFonts w:ascii="Times New Roman"/>
                <w:b w:val="false"/>
                <w:i/>
                <w:color w:val="000000"/>
                <w:sz w:val="20"/>
              </w:rPr>
              <w:t>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Турысов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міндетін атқарушы</w:t>
            </w:r>
            <w:r>
              <w:br/>
            </w:r>
            <w:r>
              <w:rPr>
                <w:rFonts w:ascii="Times New Roman"/>
                <w:b w:val="false"/>
                <w:i w:val="false"/>
                <w:color w:val="000000"/>
                <w:sz w:val="20"/>
              </w:rPr>
              <w:t>2023 жылғы 26 сәуірдегі</w:t>
            </w:r>
            <w:r>
              <w:br/>
            </w:r>
            <w:r>
              <w:rPr>
                <w:rFonts w:ascii="Times New Roman"/>
                <w:b w:val="false"/>
                <w:i w:val="false"/>
                <w:color w:val="000000"/>
                <w:sz w:val="20"/>
              </w:rPr>
              <w:t>№ 166/НҚ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Салық салу мақсаттары үшін цифрлық майнерлер мен цифрлық майнингтік пулдардың кірістері туралы мәліметтерді ұсыну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Салық салу мақсаттары үшін цифрлық майнерлер мен цифрлық майнинг пулдарының кірістері туралы мәліметтерді ұсыну қағидалары (бұдан әрі – Қағидалар) "Қазақстан Республикасындағы цифрлық активтер туралы" Қазақстан Республикасы Заңының (бұдан әрі – Заң) 4-бабы 1-тармағының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"Мемлекеттік статистика туралы" Қазақстан Республикасы Заңының 16-бабы 3-тармағының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оларға салық салу мақсаттары үшін цифрлық майнерлер мен цифрлық майнингтік пулдардың кірістері туралы мәліметтерді ұсыну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Цифрлық даму, инновациялар және аэроғарыш өнеркәсібі министрінің м.а. 25.12.2023 </w:t>
      </w:r>
      <w:r>
        <w:rPr>
          <w:rFonts w:ascii="Times New Roman"/>
          <w:b w:val="false"/>
          <w:i w:val="false"/>
          <w:color w:val="000000"/>
          <w:sz w:val="28"/>
        </w:rPr>
        <w:t>№ 663/НҚ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4" w:id="12"/>
    <w:p>
      <w:pPr>
        <w:spacing w:after="0"/>
        <w:ind w:left="0"/>
        <w:jc w:val="both"/>
      </w:pPr>
      <w:r>
        <w:rPr>
          <w:rFonts w:ascii="Times New Roman"/>
          <w:b w:val="false"/>
          <w:i w:val="false"/>
          <w:color w:val="000000"/>
          <w:sz w:val="28"/>
        </w:rPr>
        <w:t>
      1) цифрлық активтер саласындағы уәкілетті орган (бұдан әрі – уәкілетті орган) – цифрлық активтер саласындағы басшылықты және салааралық үйлестіруді жүзеге асыратын орталық атқарушы орган.</w:t>
      </w:r>
    </w:p>
    <w:bookmarkEnd w:id="12"/>
    <w:bookmarkStart w:name="z15" w:id="13"/>
    <w:p>
      <w:pPr>
        <w:spacing w:after="0"/>
        <w:ind w:left="0"/>
        <w:jc w:val="both"/>
      </w:pPr>
      <w:r>
        <w:rPr>
          <w:rFonts w:ascii="Times New Roman"/>
          <w:b w:val="false"/>
          <w:i w:val="false"/>
          <w:color w:val="000000"/>
          <w:sz w:val="28"/>
        </w:rPr>
        <w:t>
      3. Цифрлық майнерлер мен цифрлық майнингтік пулдардың кірістері туралы мәліметтер цифрлық майнерлер мен майнингтік пулдардың жылдық жиынтық кірістерін айқындау мақсатында ұсынылады.</w:t>
      </w:r>
    </w:p>
    <w:bookmarkEnd w:id="13"/>
    <w:bookmarkStart w:name="z16" w:id="14"/>
    <w:p>
      <w:pPr>
        <w:spacing w:after="0"/>
        <w:ind w:left="0"/>
        <w:jc w:val="left"/>
      </w:pPr>
      <w:r>
        <w:rPr>
          <w:rFonts w:ascii="Times New Roman"/>
          <w:b/>
          <w:i w:val="false"/>
          <w:color w:val="000000"/>
        </w:rPr>
        <w:t xml:space="preserve"> 2-тарау. Салық салу мақсаттары үшін цифрлық майнерлер мен цифрлық майнингтік пулдардың табыстары туралы мәліметтерді ұсыну тәртібі</w:t>
      </w:r>
    </w:p>
    <w:bookmarkEnd w:id="14"/>
    <w:bookmarkStart w:name="z17" w:id="15"/>
    <w:p>
      <w:pPr>
        <w:spacing w:after="0"/>
        <w:ind w:left="0"/>
        <w:jc w:val="both"/>
      </w:pPr>
      <w:r>
        <w:rPr>
          <w:rFonts w:ascii="Times New Roman"/>
          <w:b w:val="false"/>
          <w:i w:val="false"/>
          <w:color w:val="000000"/>
          <w:sz w:val="28"/>
        </w:rPr>
        <w:t>
      4. Цифрлық майнингтік пул цифрлық майнерлердің бірлескен қызметінің нәтижесінде алынған цифрлық активтерді олардың арасында бөледі.</w:t>
      </w:r>
    </w:p>
    <w:bookmarkEnd w:id="15"/>
    <w:bookmarkStart w:name="z18" w:id="16"/>
    <w:p>
      <w:pPr>
        <w:spacing w:after="0"/>
        <w:ind w:left="0"/>
        <w:jc w:val="both"/>
      </w:pPr>
      <w:r>
        <w:rPr>
          <w:rFonts w:ascii="Times New Roman"/>
          <w:b w:val="false"/>
          <w:i w:val="false"/>
          <w:color w:val="000000"/>
          <w:sz w:val="28"/>
        </w:rPr>
        <w:t xml:space="preserve">
      5. Цифрлық майнингтік пул ай сайын цифрлық активтерді бөлу орын алған айдан кейінгі айдың 25 (жиырма бесінші) күнінен кешіктірмей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(бұдан әрі – уәкілетті органдар) тиісті күнтізбелік айдағы цифрлық майнерлердің кірістері туралы мәліметтерді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өтінішті (бұдан әрі – өтініш)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тиісті күнтізбелік айдағы цифрлық майнерлер мен цифрлық майнингтік пулдардың кірістері туралы мәліметтерді (бұдан әрі – мәліметтер) уәкілетті органның кеңсесі арқылы ұсынады.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Цифрлық даму, инновациялар және аэроғарыш өнеркәсібі министрінің м.а. 25.12.2023 </w:t>
      </w:r>
      <w:r>
        <w:rPr>
          <w:rFonts w:ascii="Times New Roman"/>
          <w:b w:val="false"/>
          <w:i w:val="false"/>
          <w:color w:val="000000"/>
          <w:sz w:val="28"/>
        </w:rPr>
        <w:t>№ 663/НҚ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6. Цифрлық майнерлер мен цифрлық майнингтік пулдардың кірістері туралы мәліметтер өзгерген кезде цифрлық майнингтік пул өзгертілген мәліметтерді уәкілетті органдарға олар өзгерген күннен бастап 10 (он) жұмыс күні ішінде ұсынады.</w:t>
      </w:r>
    </w:p>
    <w:bookmarkEnd w:id="17"/>
    <w:bookmarkStart w:name="z20" w:id="18"/>
    <w:p>
      <w:pPr>
        <w:spacing w:after="0"/>
        <w:ind w:left="0"/>
        <w:jc w:val="both"/>
      </w:pPr>
      <w:r>
        <w:rPr>
          <w:rFonts w:ascii="Times New Roman"/>
          <w:b w:val="false"/>
          <w:i w:val="false"/>
          <w:color w:val="000000"/>
          <w:sz w:val="28"/>
        </w:rPr>
        <w:t>
      7. Уәкілетті органдар өтініш пен мәліметтер келіп түскен күні оларды қабылдауды және тіркеуді жүзеге асырады.</w:t>
      </w:r>
    </w:p>
    <w:bookmarkEnd w:id="18"/>
    <w:bookmarkStart w:name="z21" w:id="19"/>
    <w:p>
      <w:pPr>
        <w:spacing w:after="0"/>
        <w:ind w:left="0"/>
        <w:jc w:val="both"/>
      </w:pPr>
      <w:r>
        <w:rPr>
          <w:rFonts w:ascii="Times New Roman"/>
          <w:b w:val="false"/>
          <w:i w:val="false"/>
          <w:color w:val="000000"/>
          <w:sz w:val="28"/>
        </w:rPr>
        <w:t>
      8. Уәкілетті органдар өтініш пен мәліметтерді тіркеген сәттен бастап 2 (екі) жұмыс күні ішінде олардың толықтығын тексереді.</w:t>
      </w:r>
    </w:p>
    <w:bookmarkEnd w:id="19"/>
    <w:bookmarkStart w:name="z22" w:id="20"/>
    <w:p>
      <w:pPr>
        <w:spacing w:after="0"/>
        <w:ind w:left="0"/>
        <w:jc w:val="both"/>
      </w:pPr>
      <w:r>
        <w:rPr>
          <w:rFonts w:ascii="Times New Roman"/>
          <w:b w:val="false"/>
          <w:i w:val="false"/>
          <w:color w:val="000000"/>
          <w:sz w:val="28"/>
        </w:rPr>
        <w:t>
      Цифрлық майнингтік пулы құжаттар топтамасын толық ұсынбаған кезде уәкілетті органдар көрсетілген мерзімде цифрлық майнингтік пулына өтінішті одан әрі қараудан дәлелді бас тартуды жібереді.</w:t>
      </w:r>
    </w:p>
    <w:bookmarkEnd w:id="20"/>
    <w:bookmarkStart w:name="z23" w:id="21"/>
    <w:p>
      <w:pPr>
        <w:spacing w:after="0"/>
        <w:ind w:left="0"/>
        <w:jc w:val="both"/>
      </w:pPr>
      <w:r>
        <w:rPr>
          <w:rFonts w:ascii="Times New Roman"/>
          <w:b w:val="false"/>
          <w:i w:val="false"/>
          <w:color w:val="000000"/>
          <w:sz w:val="28"/>
        </w:rPr>
        <w:t>
      9. Цифрлық майнинггтік пул анықталған ескертулерді жойғаннан кейін осы Қағидалардың 5 және 6-тармақтарында белгіленген тәртіппен өтініш пен мәліметтерді қайта береді.</w:t>
      </w:r>
    </w:p>
    <w:bookmarkEnd w:id="21"/>
    <w:bookmarkStart w:name="z24" w:id="22"/>
    <w:p>
      <w:pPr>
        <w:spacing w:after="0"/>
        <w:ind w:left="0"/>
        <w:jc w:val="both"/>
      </w:pPr>
      <w:r>
        <w:rPr>
          <w:rFonts w:ascii="Times New Roman"/>
          <w:b w:val="false"/>
          <w:i w:val="false"/>
          <w:color w:val="000000"/>
          <w:sz w:val="28"/>
        </w:rPr>
        <w:t>
      10. Уәкілетті орган және (немесе) салықтардың және бюджетке төленетін басқа да міндетті төлемдердің түсуін қамтамасыз ету саласындағы басшылықты жүзеге асыратын уәкілетті орган цифрлық майнингтік пулдың мәліметтерді ұсынбау, уақтылы, дәйексіз және (немесе) толық ұсынбау фактілерін анықтаған кезде көрсетілген бұзушылықтар анықталған күннен бастап 5 (бес) жұмыс күні ішінде майнингтік пулға хабарламаны ақпараттық жүйе арқылы жолдайды.</w:t>
      </w:r>
    </w:p>
    <w:bookmarkEnd w:id="22"/>
    <w:bookmarkStart w:name="z31" w:id="23"/>
    <w:p>
      <w:pPr>
        <w:spacing w:after="0"/>
        <w:ind w:left="0"/>
        <w:jc w:val="both"/>
      </w:pPr>
      <w:r>
        <w:rPr>
          <w:rFonts w:ascii="Times New Roman"/>
          <w:b w:val="false"/>
          <w:i w:val="false"/>
          <w:color w:val="000000"/>
          <w:sz w:val="28"/>
        </w:rPr>
        <w:t>
      11. Қазақстан Республикасындағы цифрлық активтер туралы" заңда белгіленген шарттарда және тәртіппен "Астана" халықаралық қаржы орталығының лицензиясы бар цифрлық активтер биржалары арқылы өткізуге жататын қамтамасыз етілмеген цифрлық активтердің саны мәліметтерге сәйкес айқындалады.</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Цифрлық даму, инновациялар және аэроғарыш өнеркәсібі министрінің м.а. 25.12.2023 </w:t>
      </w:r>
      <w:r>
        <w:rPr>
          <w:rFonts w:ascii="Times New Roman"/>
          <w:b w:val="false"/>
          <w:i w:val="false"/>
          <w:color w:val="000000"/>
          <w:sz w:val="28"/>
        </w:rPr>
        <w:t>№ 663/НҚ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мақсаттары үшін</w:t>
            </w:r>
            <w:r>
              <w:br/>
            </w:r>
            <w:r>
              <w:rPr>
                <w:rFonts w:ascii="Times New Roman"/>
                <w:b w:val="false"/>
                <w:i w:val="false"/>
                <w:color w:val="000000"/>
                <w:sz w:val="20"/>
              </w:rPr>
              <w:t>цифрлық майнерлер мен</w:t>
            </w:r>
            <w:r>
              <w:br/>
            </w:r>
            <w:r>
              <w:rPr>
                <w:rFonts w:ascii="Times New Roman"/>
                <w:b w:val="false"/>
                <w:i w:val="false"/>
                <w:color w:val="000000"/>
                <w:sz w:val="20"/>
              </w:rPr>
              <w:t>цифрлық майнингтік пулдардың</w:t>
            </w:r>
            <w:r>
              <w:br/>
            </w:r>
            <w:r>
              <w:rPr>
                <w:rFonts w:ascii="Times New Roman"/>
                <w:b w:val="false"/>
                <w:i w:val="false"/>
                <w:color w:val="000000"/>
                <w:sz w:val="20"/>
              </w:rPr>
              <w:t>кірістері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27" w:id="24"/>
    <w:p>
      <w:pPr>
        <w:spacing w:after="0"/>
        <w:ind w:left="0"/>
        <w:jc w:val="left"/>
      </w:pPr>
      <w:r>
        <w:rPr>
          <w:rFonts w:ascii="Times New Roman"/>
          <w:b/>
          <w:i w:val="false"/>
          <w:color w:val="000000"/>
        </w:rPr>
        <w:t xml:space="preserve"> Салық салу мақсаттары үшін цифрлық майнерлер мен цифрлық майнингтік пулдардың кірістері туралы мәліметтерді ұсыну туралы өтініш</w:t>
      </w:r>
    </w:p>
    <w:bookmarkEnd w:id="24"/>
    <w:p>
      <w:pPr>
        <w:spacing w:after="0"/>
        <w:ind w:left="0"/>
        <w:jc w:val="both"/>
      </w:pPr>
      <w:r>
        <w:rPr>
          <w:rFonts w:ascii="Times New Roman"/>
          <w:b w:val="false"/>
          <w:i w:val="false"/>
          <w:color w:val="000000"/>
          <w:sz w:val="28"/>
        </w:rPr>
        <w:t>
      ______________________________________________________________ (уәкілетті органның толық атауы)</w:t>
      </w:r>
    </w:p>
    <w:p>
      <w:pPr>
        <w:spacing w:after="0"/>
        <w:ind w:left="0"/>
        <w:jc w:val="both"/>
      </w:pPr>
      <w:r>
        <w:rPr>
          <w:rFonts w:ascii="Times New Roman"/>
          <w:b w:val="false"/>
          <w:i w:val="false"/>
          <w:color w:val="000000"/>
          <w:sz w:val="28"/>
        </w:rPr>
        <w:t>
      ___________________________________________________________________ (цифрлық майнингтік пул атауы, бизнес сәйкестендіруші нөмірі)</w:t>
      </w:r>
    </w:p>
    <w:p>
      <w:pPr>
        <w:spacing w:after="0"/>
        <w:ind w:left="0"/>
        <w:jc w:val="both"/>
      </w:pPr>
      <w:r>
        <w:rPr>
          <w:rFonts w:ascii="Times New Roman"/>
          <w:b w:val="false"/>
          <w:i w:val="false"/>
          <w:color w:val="000000"/>
          <w:sz w:val="28"/>
        </w:rPr>
        <w:t>
      Салық салу мақсаттары үшін цифрлық майнерлер мен цифрлық майнингтік пулдардың 202__ жылғы _________ кірістері туралы мәліметтерді  қабылдауды сұраймын (ай)</w:t>
      </w:r>
    </w:p>
    <w:p>
      <w:pPr>
        <w:spacing w:after="0"/>
        <w:ind w:left="0"/>
        <w:jc w:val="both"/>
      </w:pPr>
      <w:r>
        <w:rPr>
          <w:rFonts w:ascii="Times New Roman"/>
          <w:b w:val="false"/>
          <w:i w:val="false"/>
          <w:color w:val="000000"/>
          <w:sz w:val="28"/>
        </w:rPr>
        <w:t>
      Қоса беріледі _____ парақ.</w:t>
      </w:r>
    </w:p>
    <w:p>
      <w:pPr>
        <w:spacing w:after="0"/>
        <w:ind w:left="0"/>
        <w:jc w:val="both"/>
      </w:pPr>
      <w:r>
        <w:rPr>
          <w:rFonts w:ascii="Times New Roman"/>
          <w:b w:val="false"/>
          <w:i w:val="false"/>
          <w:color w:val="000000"/>
          <w:sz w:val="28"/>
        </w:rPr>
        <w:t>
      Осымен расталады:</w:t>
      </w:r>
    </w:p>
    <w:p>
      <w:pPr>
        <w:spacing w:after="0"/>
        <w:ind w:left="0"/>
        <w:jc w:val="both"/>
      </w:pPr>
      <w:r>
        <w:rPr>
          <w:rFonts w:ascii="Times New Roman"/>
          <w:b w:val="false"/>
          <w:i w:val="false"/>
          <w:color w:val="000000"/>
          <w:sz w:val="28"/>
        </w:rPr>
        <w:t>
      барлық қоса берілген құжаттар шындыққа сәйкес келеді және сенімді болып табылады;</w:t>
      </w:r>
    </w:p>
    <w:p>
      <w:pPr>
        <w:spacing w:after="0"/>
        <w:ind w:left="0"/>
        <w:jc w:val="both"/>
      </w:pPr>
      <w:r>
        <w:rPr>
          <w:rFonts w:ascii="Times New Roman"/>
          <w:b w:val="false"/>
          <w:i w:val="false"/>
          <w:color w:val="000000"/>
          <w:sz w:val="28"/>
        </w:rPr>
        <w:t>
      өтініш беруші заңмен қорғалатын құпияны құрайтын, ақпараттық жүйелердегі қолжетімділігі шектеулі дербес деректерді пайдалануға келіседі.</w:t>
      </w:r>
    </w:p>
    <w:p>
      <w:pPr>
        <w:spacing w:after="0"/>
        <w:ind w:left="0"/>
        <w:jc w:val="both"/>
      </w:pPr>
      <w:r>
        <w:rPr>
          <w:rFonts w:ascii="Times New Roman"/>
          <w:b w:val="false"/>
          <w:i w:val="false"/>
          <w:color w:val="000000"/>
          <w:sz w:val="28"/>
        </w:rPr>
        <w:t>
      Басшы ____________________ _______________________________ (электрондық-цифрлық (тегі, аты, әкесінің аты (бар болған  қолтаңба) жағдайда)</w:t>
      </w:r>
    </w:p>
    <w:p>
      <w:pPr>
        <w:spacing w:after="0"/>
        <w:ind w:left="0"/>
        <w:jc w:val="both"/>
      </w:pPr>
      <w:r>
        <w:rPr>
          <w:rFonts w:ascii="Times New Roman"/>
          <w:b w:val="false"/>
          <w:i w:val="false"/>
          <w:color w:val="000000"/>
          <w:sz w:val="28"/>
        </w:rPr>
        <w:t>
      Толтыру күні: 202__ жылғы "__" 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салу мақсаттары үшін</w:t>
            </w:r>
            <w:r>
              <w:br/>
            </w:r>
            <w:r>
              <w:rPr>
                <w:rFonts w:ascii="Times New Roman"/>
                <w:b w:val="false"/>
                <w:i w:val="false"/>
                <w:color w:val="000000"/>
                <w:sz w:val="20"/>
              </w:rPr>
              <w:t>цифрлық майнерлер мен</w:t>
            </w:r>
            <w:r>
              <w:br/>
            </w:r>
            <w:r>
              <w:rPr>
                <w:rFonts w:ascii="Times New Roman"/>
                <w:b w:val="false"/>
                <w:i w:val="false"/>
                <w:color w:val="000000"/>
                <w:sz w:val="20"/>
              </w:rPr>
              <w:t>цифрлық майнингтік пулдардың</w:t>
            </w:r>
            <w:r>
              <w:br/>
            </w:r>
            <w:r>
              <w:rPr>
                <w:rFonts w:ascii="Times New Roman"/>
                <w:b w:val="false"/>
                <w:i w:val="false"/>
                <w:color w:val="000000"/>
                <w:sz w:val="20"/>
              </w:rPr>
              <w:t>кірістері туралы мәліметтерді</w:t>
            </w:r>
            <w:r>
              <w:br/>
            </w:r>
            <w:r>
              <w:rPr>
                <w:rFonts w:ascii="Times New Roman"/>
                <w:b w:val="false"/>
                <w:i w:val="false"/>
                <w:color w:val="000000"/>
                <w:sz w:val="20"/>
              </w:rPr>
              <w:t>ұсыну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 жаңа редакцияда - ҚР Цифрлық даму, инновациялар және аэроғарыш өнеркәсібі министрінің м.а. 25.12.2023 </w:t>
      </w:r>
      <w:r>
        <w:rPr>
          <w:rFonts w:ascii="Times New Roman"/>
          <w:b w:val="false"/>
          <w:i w:val="false"/>
          <w:color w:val="ff0000"/>
          <w:sz w:val="28"/>
        </w:rPr>
        <w:t>№ 663/НҚ</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Ұсынылады: Қазақстан Республикасының Цифрлық даму, инновациялар және аэроғарыш өнеркәсібі министрлігіне.</w:t>
      </w:r>
    </w:p>
    <w:p>
      <w:pPr>
        <w:spacing w:after="0"/>
        <w:ind w:left="0"/>
        <w:jc w:val="both"/>
      </w:pPr>
      <w:r>
        <w:rPr>
          <w:rFonts w:ascii="Times New Roman"/>
          <w:b w:val="false"/>
          <w:i w:val="false"/>
          <w:color w:val="000000"/>
          <w:sz w:val="28"/>
        </w:rPr>
        <w:t>
      Әкімшілік деректер нысаны мына интернет-ресурста орналастырылған: https://www.gov.kz/memleket/entities/mdai?lang=ru&amp;ysclid=loiggo5o679664098.</w:t>
      </w:r>
    </w:p>
    <w:p>
      <w:pPr>
        <w:spacing w:after="0"/>
        <w:ind w:left="0"/>
        <w:jc w:val="both"/>
      </w:pPr>
      <w:r>
        <w:rPr>
          <w:rFonts w:ascii="Times New Roman"/>
          <w:b w:val="false"/>
          <w:i w:val="false"/>
          <w:color w:val="000000"/>
          <w:sz w:val="28"/>
        </w:rPr>
        <w:t>
      Әкімшілік деректер нысанының атауы: Салық салу мақсаттары үшін цифрлық майнерлер мен цифрлық майнингтік пулдардың кірістері туралы мәліметтер.</w:t>
      </w:r>
    </w:p>
    <w:p>
      <w:pPr>
        <w:spacing w:after="0"/>
        <w:ind w:left="0"/>
        <w:jc w:val="both"/>
      </w:pPr>
      <w:r>
        <w:rPr>
          <w:rFonts w:ascii="Times New Roman"/>
          <w:b w:val="false"/>
          <w:i w:val="false"/>
          <w:color w:val="000000"/>
          <w:sz w:val="28"/>
        </w:rPr>
        <w:t>
      Әкімшілік деректер нысанының индексі: 1-ЦМ</w:t>
      </w:r>
    </w:p>
    <w:p>
      <w:pPr>
        <w:spacing w:after="0"/>
        <w:ind w:left="0"/>
        <w:jc w:val="both"/>
      </w:pPr>
      <w:r>
        <w:rPr>
          <w:rFonts w:ascii="Times New Roman"/>
          <w:b w:val="false"/>
          <w:i w:val="false"/>
          <w:color w:val="000000"/>
          <w:sz w:val="28"/>
        </w:rPr>
        <w:t>
      Кезеңділігі: ай сайын</w:t>
      </w:r>
    </w:p>
    <w:p>
      <w:pPr>
        <w:spacing w:after="0"/>
        <w:ind w:left="0"/>
        <w:jc w:val="both"/>
      </w:pPr>
      <w:r>
        <w:rPr>
          <w:rFonts w:ascii="Times New Roman"/>
          <w:b w:val="false"/>
          <w:i w:val="false"/>
          <w:color w:val="000000"/>
          <w:sz w:val="28"/>
        </w:rPr>
        <w:t>
      Есепті кезең: 20 __ жылғы _________ тоқсан.</w:t>
      </w:r>
    </w:p>
    <w:p>
      <w:pPr>
        <w:spacing w:after="0"/>
        <w:ind w:left="0"/>
        <w:jc w:val="both"/>
      </w:pPr>
      <w:r>
        <w:rPr>
          <w:rFonts w:ascii="Times New Roman"/>
          <w:b w:val="false"/>
          <w:i w:val="false"/>
          <w:color w:val="000000"/>
          <w:sz w:val="28"/>
        </w:rPr>
        <w:t>
      Ақпаратты ұсынатын тұлғалар тобы: цифрлық майнингтік пулдар</w:t>
      </w:r>
    </w:p>
    <w:p>
      <w:pPr>
        <w:spacing w:after="0"/>
        <w:ind w:left="0"/>
        <w:jc w:val="both"/>
      </w:pPr>
      <w:r>
        <w:rPr>
          <w:rFonts w:ascii="Times New Roman"/>
          <w:b w:val="false"/>
          <w:i w:val="false"/>
          <w:color w:val="000000"/>
          <w:sz w:val="28"/>
        </w:rPr>
        <w:t>
      Әкімшілік деректер нысанын ұсыну мерзімі: ай сайын 25 (жиырма бесінші) күннен кешіктірмей.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майнердің жәнецифрлық майнингтік пулдың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майнердің және цифрлық майнингтік пулдың бизнес сәйкестендіру нөмірі, жеке сәйкестендіру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 бойынша қызметті жүзеге асыруға арналған лицензияның нөмірі және оның берілген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электрондық әмиянның деректемелері (мекенжайы)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активті тарату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майнерге бөлінген цифрлық активтің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майнерге берілген цифрлық активтің саны, бірлік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майнингтік пулдың сыйақысы цифрлық активтерде көрсетіледі</w:t>
            </w:r>
          </w:p>
          <w:p>
            <w:pPr>
              <w:spacing w:after="20"/>
              <w:ind w:left="20"/>
              <w:jc w:val="both"/>
            </w:pPr>
            <w:r>
              <w:rPr>
                <w:rFonts w:ascii="Times New Roman"/>
                <w:b w:val="false"/>
                <w:i w:val="false"/>
                <w:color w:val="000000"/>
                <w:sz w:val="20"/>
              </w:rPr>
              <w:t>
9</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активтің атауы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бірлік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Атауы _________________________________ Мекенжайы________________ </w:t>
      </w:r>
    </w:p>
    <w:p>
      <w:pPr>
        <w:spacing w:after="0"/>
        <w:ind w:left="0"/>
        <w:jc w:val="both"/>
      </w:pPr>
      <w:r>
        <w:rPr>
          <w:rFonts w:ascii="Times New Roman"/>
          <w:b w:val="false"/>
          <w:i w:val="false"/>
          <w:color w:val="000000"/>
          <w:sz w:val="28"/>
        </w:rPr>
        <w:t xml:space="preserve">
      Телефон ___________________________________________________________ </w:t>
      </w:r>
    </w:p>
    <w:p>
      <w:pPr>
        <w:spacing w:after="0"/>
        <w:ind w:left="0"/>
        <w:jc w:val="both"/>
      </w:pPr>
      <w:r>
        <w:rPr>
          <w:rFonts w:ascii="Times New Roman"/>
          <w:b w:val="false"/>
          <w:i w:val="false"/>
          <w:color w:val="000000"/>
          <w:sz w:val="28"/>
        </w:rPr>
        <w:t xml:space="preserve">
      Электрондық пошта мекенжайы _______________________________________ </w:t>
      </w:r>
    </w:p>
    <w:p>
      <w:pPr>
        <w:spacing w:after="0"/>
        <w:ind w:left="0"/>
        <w:jc w:val="both"/>
      </w:pPr>
      <w:r>
        <w:rPr>
          <w:rFonts w:ascii="Times New Roman"/>
          <w:b w:val="false"/>
          <w:i w:val="false"/>
          <w:color w:val="000000"/>
          <w:sz w:val="28"/>
        </w:rPr>
        <w:t xml:space="preserve">
      Орындаушы________________________________________________________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телефоны </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болса) қолы </w:t>
      </w:r>
    </w:p>
    <w:p>
      <w:pPr>
        <w:spacing w:after="0"/>
        <w:ind w:left="0"/>
        <w:jc w:val="both"/>
      </w:pPr>
      <w:r>
        <w:rPr>
          <w:rFonts w:ascii="Times New Roman"/>
          <w:b w:val="false"/>
          <w:i w:val="false"/>
          <w:color w:val="000000"/>
          <w:sz w:val="28"/>
        </w:rPr>
        <w:t xml:space="preserve">
      Мөрдің орны (жеке кәсіпкерлік субъектілері болып табылатын адамдарды </w:t>
      </w:r>
    </w:p>
    <w:p>
      <w:pPr>
        <w:spacing w:after="0"/>
        <w:ind w:left="0"/>
        <w:jc w:val="both"/>
      </w:pPr>
      <w:r>
        <w:rPr>
          <w:rFonts w:ascii="Times New Roman"/>
          <w:b w:val="false"/>
          <w:i w:val="false"/>
          <w:color w:val="000000"/>
          <w:sz w:val="28"/>
        </w:rPr>
        <w:t>
      қоспағанда)_______________________</w:t>
      </w:r>
    </w:p>
    <w:p>
      <w:pPr>
        <w:spacing w:after="0"/>
        <w:ind w:left="0"/>
        <w:jc w:val="both"/>
      </w:pPr>
      <w:r>
        <w:rPr>
          <w:rFonts w:ascii="Times New Roman"/>
          <w:b w:val="false"/>
          <w:i w:val="false"/>
          <w:color w:val="000000"/>
          <w:sz w:val="28"/>
        </w:rPr>
        <w:t>
      "Салық салу мақсаттары үшін цифрлық майнерлер мен цифрлық майнингтік пулдардың кірістері туралы мәліметтер" 1-ЦМ әкімшілік деректер нысанын толтыру бойынша түсініктеме________ 202__ жыл" (Ай сайын).</w:t>
      </w:r>
    </w:p>
    <w:p>
      <w:pPr>
        <w:spacing w:after="0"/>
        <w:ind w:left="0"/>
        <w:jc w:val="both"/>
      </w:pPr>
      <w:r>
        <w:rPr>
          <w:rFonts w:ascii="Times New Roman"/>
          <w:b w:val="false"/>
          <w:i w:val="false"/>
          <w:color w:val="000000"/>
          <w:sz w:val="28"/>
        </w:rPr>
        <w:t>
      1. Бөлінген цифрлық активтердің саны және майнингтік пулдар комиссиясы туралы мәліметтерді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салық салу мақсатында Цифрлық майнерлер мен майнингтік пулдардың табысын айқындау үшін ұсынылады.</w:t>
      </w:r>
    </w:p>
    <w:p>
      <w:pPr>
        <w:spacing w:after="0"/>
        <w:ind w:left="0"/>
        <w:jc w:val="both"/>
      </w:pPr>
      <w:r>
        <w:rPr>
          <w:rFonts w:ascii="Times New Roman"/>
          <w:b w:val="false"/>
          <w:i w:val="false"/>
          <w:color w:val="000000"/>
          <w:sz w:val="28"/>
        </w:rPr>
        <w:t>
      2. Цифрлық майнингтік пул ай сайын осындай мәліметтерді ұсынған айдан кейінгі айдың 25-күнінен кешіктірмей уәкілетті органға және салықтардың және бюджетке төленетін басқа да міндетті төлемдердің түсуін қамтамасыз ету саласындағы басшылықты жүзеге асыратын уәкілетті органға бекітілген нысанға сәйкес цифрлық майнинг бойынша қызметті жүзеге асыратын тұлғалар арасында өзі бөлген цифрлық активтер туралы мәліметтерді жібереді.</w:t>
      </w:r>
    </w:p>
    <w:p>
      <w:pPr>
        <w:spacing w:after="0"/>
        <w:ind w:left="0"/>
        <w:jc w:val="both"/>
      </w:pPr>
      <w:r>
        <w:rPr>
          <w:rFonts w:ascii="Times New Roman"/>
          <w:b w:val="false"/>
          <w:i w:val="false"/>
          <w:color w:val="000000"/>
          <w:sz w:val="28"/>
        </w:rPr>
        <w:t>
      3. Цифрлық майнинг пулының өзі бөлген цифрлық активтер туралы мәліметтерді ұсыну нысанында цифрлық майнинг қызметін жүзеге асыратын тұлғалар арасында мынадай мәліметтер көрсетіледі:</w:t>
      </w:r>
    </w:p>
    <w:p>
      <w:pPr>
        <w:spacing w:after="0"/>
        <w:ind w:left="0"/>
        <w:jc w:val="both"/>
      </w:pPr>
      <w:r>
        <w:rPr>
          <w:rFonts w:ascii="Times New Roman"/>
          <w:b w:val="false"/>
          <w:i w:val="false"/>
          <w:color w:val="000000"/>
          <w:sz w:val="28"/>
        </w:rPr>
        <w:t>
      1-бағанда реті бойынша нөмір көрсетіледі;</w:t>
      </w:r>
    </w:p>
    <w:p>
      <w:pPr>
        <w:spacing w:after="0"/>
        <w:ind w:left="0"/>
        <w:jc w:val="both"/>
      </w:pPr>
      <w:r>
        <w:rPr>
          <w:rFonts w:ascii="Times New Roman"/>
          <w:b w:val="false"/>
          <w:i w:val="false"/>
          <w:color w:val="000000"/>
          <w:sz w:val="28"/>
        </w:rPr>
        <w:t>
      2-бағанда цифрлық майнердің және цифрлық майнингтік пулдың атауы көрсетіледі;</w:t>
      </w:r>
    </w:p>
    <w:p>
      <w:pPr>
        <w:spacing w:after="0"/>
        <w:ind w:left="0"/>
        <w:jc w:val="both"/>
      </w:pPr>
      <w:r>
        <w:rPr>
          <w:rFonts w:ascii="Times New Roman"/>
          <w:b w:val="false"/>
          <w:i w:val="false"/>
          <w:color w:val="000000"/>
          <w:sz w:val="28"/>
        </w:rPr>
        <w:t>
      3-бағанда цифрлық майнердің және цифрлық майнингтік пулдың бизнес сәйкестендіру нөмірі, жеке сәйкестендіру нөмірі көрсетіледі;</w:t>
      </w:r>
    </w:p>
    <w:p>
      <w:pPr>
        <w:spacing w:after="0"/>
        <w:ind w:left="0"/>
        <w:jc w:val="both"/>
      </w:pPr>
      <w:r>
        <w:rPr>
          <w:rFonts w:ascii="Times New Roman"/>
          <w:b w:val="false"/>
          <w:i w:val="false"/>
          <w:color w:val="000000"/>
          <w:sz w:val="28"/>
        </w:rPr>
        <w:t>
      4-бағанда цифрлық майнинг бойынша қызметті жүзеге асыруға арналған лицензияның нөмірі және оның берілген күні көрсетіледі;</w:t>
      </w:r>
    </w:p>
    <w:p>
      <w:pPr>
        <w:spacing w:after="0"/>
        <w:ind w:left="0"/>
        <w:jc w:val="both"/>
      </w:pPr>
      <w:r>
        <w:rPr>
          <w:rFonts w:ascii="Times New Roman"/>
          <w:b w:val="false"/>
          <w:i w:val="false"/>
          <w:color w:val="000000"/>
          <w:sz w:val="28"/>
        </w:rPr>
        <w:t>
      5-бағанда цифрлық электрондық әмиянның деректемелері (мекенжайы) көрсетіледі;</w:t>
      </w:r>
    </w:p>
    <w:p>
      <w:pPr>
        <w:spacing w:after="0"/>
        <w:ind w:left="0"/>
        <w:jc w:val="both"/>
      </w:pPr>
      <w:r>
        <w:rPr>
          <w:rFonts w:ascii="Times New Roman"/>
          <w:b w:val="false"/>
          <w:i w:val="false"/>
          <w:color w:val="000000"/>
          <w:sz w:val="28"/>
        </w:rPr>
        <w:t>
      6-бағанда цифрлық активті тарату күні көрсетіледі;</w:t>
      </w:r>
    </w:p>
    <w:p>
      <w:pPr>
        <w:spacing w:after="0"/>
        <w:ind w:left="0"/>
        <w:jc w:val="both"/>
      </w:pPr>
      <w:r>
        <w:rPr>
          <w:rFonts w:ascii="Times New Roman"/>
          <w:b w:val="false"/>
          <w:i w:val="false"/>
          <w:color w:val="000000"/>
          <w:sz w:val="28"/>
        </w:rPr>
        <w:t>
      7-бағанда цифрлық майнерге бөлінген цифрлық активтің атауы көрсетіледі;</w:t>
      </w:r>
    </w:p>
    <w:p>
      <w:pPr>
        <w:spacing w:after="0"/>
        <w:ind w:left="0"/>
        <w:jc w:val="both"/>
      </w:pPr>
      <w:r>
        <w:rPr>
          <w:rFonts w:ascii="Times New Roman"/>
          <w:b w:val="false"/>
          <w:i w:val="false"/>
          <w:color w:val="000000"/>
          <w:sz w:val="28"/>
        </w:rPr>
        <w:t>
      8-бағанда цифрлық майнерге берілген цифрлық активтің саны, бірлік көрсетіледі;</w:t>
      </w:r>
    </w:p>
    <w:p>
      <w:pPr>
        <w:spacing w:after="0"/>
        <w:ind w:left="0"/>
        <w:jc w:val="both"/>
      </w:pPr>
      <w:r>
        <w:rPr>
          <w:rFonts w:ascii="Times New Roman"/>
          <w:b w:val="false"/>
          <w:i w:val="false"/>
          <w:color w:val="000000"/>
          <w:sz w:val="28"/>
        </w:rPr>
        <w:t>
      9-бағанда цифрлық майнингтік пулдың сыйақысы цифрлық активтерде көрсетіледі;</w:t>
      </w:r>
    </w:p>
    <w:p>
      <w:pPr>
        <w:spacing w:after="0"/>
        <w:ind w:left="0"/>
        <w:jc w:val="both"/>
      </w:pPr>
      <w:r>
        <w:rPr>
          <w:rFonts w:ascii="Times New Roman"/>
          <w:b w:val="false"/>
          <w:i w:val="false"/>
          <w:color w:val="000000"/>
          <w:sz w:val="28"/>
        </w:rPr>
        <w:t>
      10-бағанда цифрлық активтің атауы көрсетіледі;</w:t>
      </w:r>
    </w:p>
    <w:p>
      <w:pPr>
        <w:spacing w:after="0"/>
        <w:ind w:left="0"/>
        <w:jc w:val="both"/>
      </w:pPr>
      <w:r>
        <w:rPr>
          <w:rFonts w:ascii="Times New Roman"/>
          <w:b w:val="false"/>
          <w:i w:val="false"/>
          <w:color w:val="000000"/>
          <w:sz w:val="28"/>
        </w:rPr>
        <w:t>
      11-бағанда саны, бірлік көрсетіледі.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