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66e0" w14:textId="b3d6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"Интернетке қол жеткізудің бірыңғай шлюзінің және "электрондық үкіметтің" электрондық поштасының бірыңғай шлюзінің жұмыс істеу қағидаларын бекіту туралы" Қазақстан Республикасы Цифрлық даму, инновациялар және аэроғарыш өнеркәсібі министрінің 2020 жылғы 13 қазандағы № 386 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26 сәуірдегі № 79/НҚ бұйрығы. Қазақстан Республикасының Әділет министрлігінде 2023 жылғы 3 мамырда № 32414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"Интернетке қол жеткізудің бірыңғай шлюзінің және "электрондық үкіметтің" электрондық поштасының бірыңғай шлюзінің жұмыс істеу қағидаларын бекіту туралы" Қазақстан Республикасы Цифрлық даму, инновациялар және аэроғарыш өнеркәсібі министрінің 2020 жылғы 13 қазандағы № 386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21436 болып тіркелген) мынадай өзгерістер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Интернетке қол жеткізудің бірыңғай шлюзінің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Интернетке қол жеткізудің бірыңғай шлюзінің жұмыс істеу қағидалары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Интернетке қол жеткізудің бірыңғай шлюзінің (бұдан әрі – ИҚБШ) жұмыс істеу тәртібін айқындайды.</w:t>
      </w:r>
    </w:p>
    <w:bookmarkStart w:name="z5" w:id="0"/>
    <w:p>
      <w:pPr>
        <w:spacing w:after="0"/>
        <w:ind w:left="0"/>
        <w:jc w:val="both"/>
      </w:pPr>
      <w:r>
        <w:rPr>
          <w:rFonts w:ascii="Times New Roman"/>
          <w:b w:val="false"/>
          <w:i w:val="false"/>
          <w:color w:val="000000"/>
          <w:sz w:val="28"/>
        </w:rPr>
        <w:t>
      2.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ИҚБШ арқылы жүзеге асырады.</w:t>
      </w:r>
    </w:p>
    <w:bookmarkEnd w:id="0"/>
    <w:bookmarkStart w:name="z6" w:id="1"/>
    <w:p>
      <w:pPr>
        <w:spacing w:after="0"/>
        <w:ind w:left="0"/>
        <w:jc w:val="both"/>
      </w:pPr>
      <w:r>
        <w:rPr>
          <w:rFonts w:ascii="Times New Roman"/>
          <w:b w:val="false"/>
          <w:i w:val="false"/>
          <w:color w:val="000000"/>
          <w:sz w:val="28"/>
        </w:rPr>
        <w:t>
      Заңның 30-бабының 3-тармағына сәйкес арнаулы мемлекеттік және құқық қорғау органдары – жедел мақсаттарда, Қазақстан Республикасының Ұлттық Банкі Интернетке қосуды ИҚБШ пайдаланбай ұйымдастыруы мүмкін.";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"13. Байланыс операторы "IP-мекенжайлар каталогы" (https://catalog.sts.kz) ИР Пайдаланушылар туралы ақпаратты тұрақты негізде жаңартып отырады.</w:t>
      </w:r>
    </w:p>
    <w:bookmarkEnd w:id="2"/>
    <w:bookmarkStart w:name="z10" w:id="3"/>
    <w:p>
      <w:pPr>
        <w:spacing w:after="0"/>
        <w:ind w:left="0"/>
        <w:jc w:val="both"/>
      </w:pPr>
      <w:r>
        <w:rPr>
          <w:rFonts w:ascii="Times New Roman"/>
          <w:b w:val="false"/>
          <w:i w:val="false"/>
          <w:color w:val="000000"/>
          <w:sz w:val="28"/>
        </w:rPr>
        <w:t>
      ИҚБШ жабдығында "IP-мекенжайлар каталогы""(https://catalog.sts.kz) ИР-да жоқ пайдаланушылардың IP-мекенжайларына анықталған кезде МТҚ байланыс операторына IP-мекенжайлардың деректер тізімін қоса бере отырып, электрондық пошта арқылы хабарлама жібереді.</w:t>
      </w:r>
    </w:p>
    <w:bookmarkEnd w:id="3"/>
    <w:bookmarkStart w:name="z11" w:id="4"/>
    <w:p>
      <w:pPr>
        <w:spacing w:after="0"/>
        <w:ind w:left="0"/>
        <w:jc w:val="both"/>
      </w:pPr>
      <w:r>
        <w:rPr>
          <w:rFonts w:ascii="Times New Roman"/>
          <w:b w:val="false"/>
          <w:i w:val="false"/>
          <w:color w:val="000000"/>
          <w:sz w:val="28"/>
        </w:rPr>
        <w:t>
      Байланыс операторы МТҚ-дан хабарлама алған сәттен бастап бес жұмыс күні ішінде "IP-мекенжайлар каталогы" АЖ-дағы IP-мекенжайлар тізімін өзектілендіреді.</w:t>
      </w:r>
    </w:p>
    <w:bookmarkEnd w:id="4"/>
    <w:bookmarkStart w:name="z12" w:id="5"/>
    <w:p>
      <w:pPr>
        <w:spacing w:after="0"/>
        <w:ind w:left="0"/>
        <w:jc w:val="both"/>
      </w:pPr>
      <w:r>
        <w:rPr>
          <w:rFonts w:ascii="Times New Roman"/>
          <w:b w:val="false"/>
          <w:i w:val="false"/>
          <w:color w:val="000000"/>
          <w:sz w:val="28"/>
        </w:rPr>
        <w:t>
      Байланыс операторы көрсетілген мерзімде орындамаған кезде, МТҚ хабарландыруда көрсетілген IP-мекенжайлардан Интернетке қол жеткізуді бұғаттайды.</w:t>
      </w:r>
    </w:p>
    <w:bookmarkEnd w:id="5"/>
    <w:bookmarkStart w:name="z13" w:id="6"/>
    <w:p>
      <w:pPr>
        <w:spacing w:after="0"/>
        <w:ind w:left="0"/>
        <w:jc w:val="both"/>
      </w:pPr>
      <w:r>
        <w:rPr>
          <w:rFonts w:ascii="Times New Roman"/>
          <w:b w:val="false"/>
          <w:i w:val="false"/>
          <w:color w:val="000000"/>
          <w:sz w:val="28"/>
        </w:rPr>
        <w:t>
      IP-адрестердан Интернетке қол жеткізуді ашу байланыс операторы деректерді өзектілендіргеннен кейін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Пайдаланушы жылына кемінде бір рет МТҚ-ға Қазақстан Республикасы Үкіметінің 2016 жылғы 20 желтоқсандағы №832 қаулысымен бекітілген Ақпараттық-коммуникациялық технологиялар және ақпараттық қауіпсіздікті қамтамасыз ету саласындағы бірыңғай талаптардың 133-тармағы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ИҚБШ жабдығында қолдану үшін ИР санаттарының тізімін және пайдаланушының телекоммуникация желілерінің желілік мекенжайларының тізімін ұсынады. </w:t>
      </w:r>
    </w:p>
    <w:bookmarkStart w:name="z16" w:id="7"/>
    <w:p>
      <w:pPr>
        <w:spacing w:after="0"/>
        <w:ind w:left="0"/>
        <w:jc w:val="both"/>
      </w:pPr>
      <w:r>
        <w:rPr>
          <w:rFonts w:ascii="Times New Roman"/>
          <w:b w:val="false"/>
          <w:i w:val="false"/>
          <w:color w:val="000000"/>
          <w:sz w:val="28"/>
        </w:rPr>
        <w:t>
      Пайдаланушы ӨӨЖ арқылы ИР санаттарының тізімін және пайдаланушының телекоммуникация желілерінің желілік мекенжайларының тізімін қоса бере отырып, заңды тұлғаның электрондық цифрлық қолтаңбасымен қол қойылған өтінімді МТҚ-ға жібереді.";</w:t>
      </w:r>
    </w:p>
    <w:bookmarkEnd w:id="7"/>
    <w:bookmarkStart w:name="z17" w:id="8"/>
    <w:p>
      <w:pPr>
        <w:spacing w:after="0"/>
        <w:ind w:left="0"/>
        <w:jc w:val="both"/>
      </w:pPr>
      <w:r>
        <w:rPr>
          <w:rFonts w:ascii="Times New Roman"/>
          <w:b w:val="false"/>
          <w:i w:val="false"/>
          <w:color w:val="000000"/>
          <w:sz w:val="28"/>
        </w:rPr>
        <w:t>
      мынадай мазмұндағы 15-1 және 15-2-тармақпен толықтырылсын:</w:t>
      </w:r>
    </w:p>
    <w:bookmarkEnd w:id="8"/>
    <w:bookmarkStart w:name="z18" w:id="9"/>
    <w:p>
      <w:pPr>
        <w:spacing w:after="0"/>
        <w:ind w:left="0"/>
        <w:jc w:val="both"/>
      </w:pPr>
      <w:r>
        <w:rPr>
          <w:rFonts w:ascii="Times New Roman"/>
          <w:b w:val="false"/>
          <w:i w:val="false"/>
          <w:color w:val="000000"/>
          <w:sz w:val="28"/>
        </w:rPr>
        <w:t>
      "15-1. МТҚ пайдаланушының сұрауы негізінде, оларға берілген ИР санаттарының тізімдеріне және телекоммуникация желілерінің желілік мекенжайларына сәйкес, ИҚБШ жабдығында ол үшін бір күнтізбелік жыл мерзімге Интернетке қажетті қолжетімділікті ашады.</w:t>
      </w:r>
    </w:p>
    <w:bookmarkEnd w:id="9"/>
    <w:bookmarkStart w:name="z19" w:id="10"/>
    <w:p>
      <w:pPr>
        <w:spacing w:after="0"/>
        <w:ind w:left="0"/>
        <w:jc w:val="both"/>
      </w:pPr>
      <w:r>
        <w:rPr>
          <w:rFonts w:ascii="Times New Roman"/>
          <w:b w:val="false"/>
          <w:i w:val="false"/>
          <w:color w:val="000000"/>
          <w:sz w:val="28"/>
        </w:rPr>
        <w:t>
      15-2. ИР санаттарының тізімі және телекоммуникация желілерінің желілік мекенжайлары негізінде, сондай-ақ пайдаланушы үшін ақпараттық қауіпсіздікке қатер төндіретін және қатер төндіретін жеке виртуалды желілерді (VPN) және өзге де желілік сервистерді пайдалану үшін ИҚБШ жабдығында Интернетке қажетті қолжетімділікті ашуға байланысты Пайдаланушының сұратуларын ол МТҚ-ға заңды тұлғаның электрондық цифрлық қолтаңбасымен қол қойылған өтінімдер ӨӨЖ арқылы жіберу жолымен ресімдейді.";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"16. Интернет-ресурстар санаттарының тізімін және Пайдаланушының телекоммуникация желілерінің желілік мекенжайларының тізімдерін алғаннан кейін МТҚ он жұмыс күні ішінде ИҚБШ жабдығындағы тиісті саясаттарды қолданады және Пайдаланушыны жүргізілген іс-шаралар туралы хабардар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"20. Зиянды контентке қол жеткізуді уақтылы анықтау және шектеу үшін МТҚ ИР-нің келесі санаттарын қоспағанда, пайдаланушылардың шифрланған трафигіне талдау жүргізу үшін ИҚБШ жабдығында тиісті техникалық іс-шараларды іске асырады:</w:t>
      </w:r>
    </w:p>
    <w:bookmarkEnd w:id="12"/>
    <w:bookmarkStart w:name="z24" w:id="13"/>
    <w:p>
      <w:pPr>
        <w:spacing w:after="0"/>
        <w:ind w:left="0"/>
        <w:jc w:val="both"/>
      </w:pPr>
      <w:r>
        <w:rPr>
          <w:rFonts w:ascii="Times New Roman"/>
          <w:b w:val="false"/>
          <w:i w:val="false"/>
          <w:color w:val="000000"/>
          <w:sz w:val="28"/>
        </w:rPr>
        <w:t>
      1) қаржы және банктер (finance and banking);</w:t>
      </w:r>
    </w:p>
    <w:bookmarkEnd w:id="13"/>
    <w:bookmarkStart w:name="z25" w:id="14"/>
    <w:p>
      <w:pPr>
        <w:spacing w:after="0"/>
        <w:ind w:left="0"/>
        <w:jc w:val="both"/>
      </w:pPr>
      <w:r>
        <w:rPr>
          <w:rFonts w:ascii="Times New Roman"/>
          <w:b w:val="false"/>
          <w:i w:val="false"/>
          <w:color w:val="000000"/>
          <w:sz w:val="28"/>
        </w:rPr>
        <w:t>
      2) мемлекеттік органдар мен ұйымдар (government and legal organizations);</w:t>
      </w:r>
    </w:p>
    <w:bookmarkEnd w:id="14"/>
    <w:bookmarkStart w:name="z26" w:id="15"/>
    <w:p>
      <w:pPr>
        <w:spacing w:after="0"/>
        <w:ind w:left="0"/>
        <w:jc w:val="both"/>
      </w:pPr>
      <w:r>
        <w:rPr>
          <w:rFonts w:ascii="Times New Roman"/>
          <w:b w:val="false"/>
          <w:i w:val="false"/>
          <w:color w:val="000000"/>
          <w:sz w:val="28"/>
        </w:rPr>
        <w:t>
      3) сұлулық және денсаулық (health and wellness);</w:t>
      </w:r>
    </w:p>
    <w:bookmarkEnd w:id="15"/>
    <w:bookmarkStart w:name="z27" w:id="16"/>
    <w:p>
      <w:pPr>
        <w:spacing w:after="0"/>
        <w:ind w:left="0"/>
        <w:jc w:val="both"/>
      </w:pPr>
      <w:r>
        <w:rPr>
          <w:rFonts w:ascii="Times New Roman"/>
          <w:b w:val="false"/>
          <w:i w:val="false"/>
          <w:color w:val="000000"/>
          <w:sz w:val="28"/>
        </w:rPr>
        <w:t>
      4) жеке ақпарат (personal privacy);</w:t>
      </w:r>
    </w:p>
    <w:bookmarkEnd w:id="16"/>
    <w:bookmarkStart w:name="z28" w:id="17"/>
    <w:p>
      <w:pPr>
        <w:spacing w:after="0"/>
        <w:ind w:left="0"/>
        <w:jc w:val="both"/>
      </w:pPr>
      <w:r>
        <w:rPr>
          <w:rFonts w:ascii="Times New Roman"/>
          <w:b w:val="false"/>
          <w:i w:val="false"/>
          <w:color w:val="000000"/>
          <w:sz w:val="28"/>
        </w:rPr>
        <w:t>
      5) бейне-конференц-байланыс қызметтері;</w:t>
      </w:r>
    </w:p>
    <w:bookmarkEnd w:id="17"/>
    <w:bookmarkStart w:name="z29" w:id="18"/>
    <w:p>
      <w:pPr>
        <w:spacing w:after="0"/>
        <w:ind w:left="0"/>
        <w:jc w:val="both"/>
      </w:pPr>
      <w:r>
        <w:rPr>
          <w:rFonts w:ascii="Times New Roman"/>
          <w:b w:val="false"/>
          <w:i w:val="false"/>
          <w:color w:val="000000"/>
          <w:sz w:val="28"/>
        </w:rPr>
        <w:t>
      6) АҚ құралдарының қолтаңбаларын жаңарту сервистері;</w:t>
      </w:r>
    </w:p>
    <w:bookmarkEnd w:id="18"/>
    <w:bookmarkStart w:name="z30" w:id="19"/>
    <w:p>
      <w:pPr>
        <w:spacing w:after="0"/>
        <w:ind w:left="0"/>
        <w:jc w:val="both"/>
      </w:pPr>
      <w:r>
        <w:rPr>
          <w:rFonts w:ascii="Times New Roman"/>
          <w:b w:val="false"/>
          <w:i w:val="false"/>
          <w:color w:val="000000"/>
          <w:sz w:val="28"/>
        </w:rPr>
        <w:t>
      7) операциялық жүйелерді жаңарту қызметтері.";</w:t>
      </w:r>
    </w:p>
    <w:bookmarkEnd w:id="19"/>
    <w:bookmarkStart w:name="z31" w:id="20"/>
    <w:p>
      <w:pPr>
        <w:spacing w:after="0"/>
        <w:ind w:left="0"/>
        <w:jc w:val="both"/>
      </w:pPr>
      <w:r>
        <w:rPr>
          <w:rFonts w:ascii="Times New Roman"/>
          <w:b w:val="false"/>
          <w:i w:val="false"/>
          <w:color w:val="000000"/>
          <w:sz w:val="28"/>
        </w:rPr>
        <w:t>
      көрсетілген бұйрықпен бекітілген "Электрондық үкіметтің" бірыңғай электрондық пошта шлюзінің жұмыс істеу қағидаларында:</w:t>
      </w:r>
    </w:p>
    <w:bookmarkEnd w:id="20"/>
    <w:bookmarkStart w:name="z32" w:id="21"/>
    <w:p>
      <w:pPr>
        <w:spacing w:after="0"/>
        <w:ind w:left="0"/>
        <w:jc w:val="both"/>
      </w:pPr>
      <w:r>
        <w:rPr>
          <w:rFonts w:ascii="Times New Roman"/>
          <w:b w:val="false"/>
          <w:i w:val="false"/>
          <w:color w:val="000000"/>
          <w:sz w:val="28"/>
        </w:rPr>
        <w:t>
      1-тармақ мынадай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"Электрондық үкіметтің" электрондық поштасының бірыңғай шлюзінің жұмыс істеу қағидалары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17-1) тармағына</w:t>
      </w:r>
      <w:r>
        <w:rPr>
          <w:rFonts w:ascii="Times New Roman"/>
          <w:b w:val="false"/>
          <w:i w:val="false"/>
          <w:color w:val="000000"/>
          <w:sz w:val="28"/>
        </w:rPr>
        <w:t xml:space="preserve"> сәйкес әзірленді және "электрондық үкіметтің" электрондық поштасының бірыңғай шлюзінің (бұдан әрі – ЭПБШ) жұмыс істеу тәртібін айқындайды.".</w:t>
      </w:r>
    </w:p>
    <w:bookmarkStart w:name="z34" w:id="22"/>
    <w:p>
      <w:pPr>
        <w:spacing w:after="0"/>
        <w:ind w:left="0"/>
        <w:jc w:val="both"/>
      </w:pPr>
      <w:r>
        <w:rPr>
          <w:rFonts w:ascii="Times New Roman"/>
          <w:b w:val="false"/>
          <w:i w:val="false"/>
          <w:color w:val="000000"/>
          <w:sz w:val="28"/>
        </w:rPr>
        <w:t>
      мынадай мазмұндағы 12-тармақпен толықтырылсын:</w:t>
      </w:r>
    </w:p>
    <w:bookmarkEnd w:id="22"/>
    <w:bookmarkStart w:name="z35" w:id="23"/>
    <w:p>
      <w:pPr>
        <w:spacing w:after="0"/>
        <w:ind w:left="0"/>
        <w:jc w:val="both"/>
      </w:pPr>
      <w:r>
        <w:rPr>
          <w:rFonts w:ascii="Times New Roman"/>
          <w:b w:val="false"/>
          <w:i w:val="false"/>
          <w:color w:val="000000"/>
          <w:sz w:val="28"/>
        </w:rPr>
        <w:t>
      "12. ЭПБШ-ға қосылған электрондық пошта жүйелері трафигінің штаттан тыс белсенділігі анықталған кезде МТҚ ЭПБШ-нің IP-мекенжайларын сенімсіз IP-мекенжайлар мен домендердің жаһандық базаларына енгізуді болдырмау мақсатында олардың жұмыс істеуін тоқтата тұрады, кейіннен электрондық пошта жүйесінің меншік иесін бұғаттау туралы хабардар етеді.".</w:t>
      </w:r>
    </w:p>
    <w:bookmarkEnd w:id="23"/>
    <w:bookmarkStart w:name="z36" w:id="2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4"/>
    <w:bookmarkStart w:name="z37" w:id="2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5"/>
    <w:bookmarkStart w:name="z38" w:id="2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6"/>
    <w:bookmarkStart w:name="z39" w:id="2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27"/>
    <w:bookmarkStart w:name="z40"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8"/>
    <w:bookmarkStart w:name="z41"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