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1ce3" w14:textId="7941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"Лотерея операторына қатысты Қазақстан Республикасының лотерея және лотерея қызметі туралы заңнаманы сақтаудағы тәуекел дәрежесін бағалау өлшемшарттарын және тексеру парағын бекіту туралы" Қазақстан Республикасы Мәдениет және спорт министрінің 2016 жылғы 29 маусымдағы № 195 және Қазақстан Республикасы Ұлттық экономика министрінің 2016 жылғы 18 шілдедегі № 323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2023 жылғы 5 мамырдағы № 113 және Қазақстан Республикасы Ұлттық экономика министрінің м.а. 2023 жылғы 5 мамырдағы № 60 бірлескен бұйрығы. Қазақстан Республикасының Әділет министрлігінде 2023 жылғы 10 мамырда № 32456 болып тіркелді</w:t>
      </w:r>
    </w:p>
    <w:p>
      <w:pPr>
        <w:spacing w:after="0"/>
        <w:ind w:left="0"/>
        <w:jc w:val="both"/>
      </w:pPr>
      <w:r>
        <w:rPr>
          <w:rFonts w:ascii="Times New Roman"/>
          <w:b w:val="false"/>
          <w:i w:val="false"/>
          <w:color w:val="000000"/>
          <w:sz w:val="28"/>
        </w:rPr>
        <w:t>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Мәдениет және спорт министрінің 2016 жылғы 29 маусымдағы № 195 және Қазақстан Республикасы Ұлттық экономика министрінің 2016 жылғы 18 шілдедегі № 323 </w:t>
      </w:r>
      <w:r>
        <w:rPr>
          <w:rFonts w:ascii="Times New Roman"/>
          <w:b w:val="false"/>
          <w:i w:val="false"/>
          <w:color w:val="000000"/>
          <w:sz w:val="28"/>
        </w:rPr>
        <w:t>бірлескен бұйрығына</w:t>
      </w:r>
      <w:r>
        <w:rPr>
          <w:rFonts w:ascii="Times New Roman"/>
          <w:b w:val="false"/>
          <w:i w:val="false"/>
          <w:color w:val="000000"/>
          <w:sz w:val="28"/>
        </w:rPr>
        <w:t>. "Лотерея операторына қатысты Қазақстан Республикасының лотереялар және лотерея қызметі туралы заңнамасының сақталуына тәуекел дәрежесін бағалау өлшемшарттарын және тексеру парағын бекіту туралы " (Нормативтік құқықтық актілерді мемлекеттік тіркеу тізілімінде № 14142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Лотерея және лотерея қызметінің операторына арналған Қазақстан Республикасының лотерея және лотерея қызметі туралы заңнаманы сақтаудағы тәуекел дәрежесін бағалаудың </w:t>
      </w:r>
      <w:r>
        <w:rPr>
          <w:rFonts w:ascii="Times New Roman"/>
          <w:b w:val="false"/>
          <w:i w:val="false"/>
          <w:color w:val="000000"/>
          <w:sz w:val="28"/>
        </w:rPr>
        <w:t>өлшемшарттарында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мынадай мазмұндағы 1-1) тармақшамен толықтырылсын:</w:t>
      </w:r>
    </w:p>
    <w:bookmarkEnd w:id="0"/>
    <w:bookmarkStart w:name="z5" w:id="1"/>
    <w:p>
      <w:pPr>
        <w:spacing w:after="0"/>
        <w:ind w:left="0"/>
        <w:jc w:val="both"/>
      </w:pPr>
      <w:r>
        <w:rPr>
          <w:rFonts w:ascii="Times New Roman"/>
          <w:b w:val="false"/>
          <w:i w:val="false"/>
          <w:color w:val="000000"/>
          <w:sz w:val="28"/>
        </w:rPr>
        <w:t>
      "1-1) балл – тәуекелді есептеудің сандық өлшемі;";</w:t>
      </w:r>
    </w:p>
    <w:bookmarkEnd w:id="1"/>
    <w:bookmarkStart w:name="z6" w:id="2"/>
    <w:p>
      <w:pPr>
        <w:spacing w:after="0"/>
        <w:ind w:left="0"/>
        <w:jc w:val="both"/>
      </w:pPr>
      <w:r>
        <w:rPr>
          <w:rFonts w:ascii="Times New Roman"/>
          <w:b w:val="false"/>
          <w:i w:val="false"/>
          <w:color w:val="000000"/>
          <w:sz w:val="28"/>
        </w:rPr>
        <w:t>
      мынадай мазмұндағы 2-1) тармақшамен толықтырылсын:</w:t>
      </w:r>
    </w:p>
    <w:bookmarkEnd w:id="2"/>
    <w:bookmarkStart w:name="z7" w:id="3"/>
    <w:p>
      <w:pPr>
        <w:spacing w:after="0"/>
        <w:ind w:left="0"/>
        <w:jc w:val="both"/>
      </w:pPr>
      <w:r>
        <w:rPr>
          <w:rFonts w:ascii="Times New Roman"/>
          <w:b w:val="false"/>
          <w:i w:val="false"/>
          <w:color w:val="000000"/>
          <w:sz w:val="28"/>
        </w:rPr>
        <w:t>
      "2-1) деректерді қалыпқа келтіру – әртүрлі шәкілдерде өлшенген мәндерді шартты түрде жалпы шәкілге келтіруді көздейтін статистикалық рәсім;";</w:t>
      </w:r>
    </w:p>
    <w:bookmarkEnd w:id="3"/>
    <w:bookmarkStart w:name="z8" w:id="4"/>
    <w:p>
      <w:pPr>
        <w:spacing w:after="0"/>
        <w:ind w:left="0"/>
        <w:jc w:val="both"/>
      </w:pPr>
      <w:r>
        <w:rPr>
          <w:rFonts w:ascii="Times New Roman"/>
          <w:b w:val="false"/>
          <w:i w:val="false"/>
          <w:color w:val="000000"/>
          <w:sz w:val="28"/>
        </w:rPr>
        <w:t>
      мынадай мазмұндағы 11) тармақшамен толықтырылсын:</w:t>
      </w:r>
    </w:p>
    <w:bookmarkEnd w:id="4"/>
    <w:bookmarkStart w:name="z9" w:id="5"/>
    <w:p>
      <w:pPr>
        <w:spacing w:after="0"/>
        <w:ind w:left="0"/>
        <w:jc w:val="both"/>
      </w:pPr>
      <w:r>
        <w:rPr>
          <w:rFonts w:ascii="Times New Roman"/>
          <w:b w:val="false"/>
          <w:i w:val="false"/>
          <w:color w:val="000000"/>
          <w:sz w:val="28"/>
        </w:rPr>
        <w:t>
      "11) іріктеме жиынтық (іріктеме) – Кодекстің 143-бабының 2-тармағына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"7.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 (объектілерін)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6"/>
    <w:p>
      <w:pPr>
        <w:spacing w:after="0"/>
        <w:ind w:left="0"/>
        <w:jc w:val="both"/>
      </w:pPr>
      <w:r>
        <w:rPr>
          <w:rFonts w:ascii="Times New Roman"/>
          <w:b w:val="false"/>
          <w:i w:val="false"/>
          <w:color w:val="000000"/>
          <w:sz w:val="28"/>
        </w:rPr>
        <w:t>
      Бірінші кезеңде бақылау субъектілер (объектілер) объективті өлшемшарттар бойынша мынадай тәуекел дәрежелерінің біріне жатады:</w:t>
      </w:r>
    </w:p>
    <w:bookmarkStart w:name="z12" w:id="7"/>
    <w:p>
      <w:pPr>
        <w:spacing w:after="0"/>
        <w:ind w:left="0"/>
        <w:jc w:val="both"/>
      </w:pPr>
      <w:r>
        <w:rPr>
          <w:rFonts w:ascii="Times New Roman"/>
          <w:b w:val="false"/>
          <w:i w:val="false"/>
          <w:color w:val="000000"/>
          <w:sz w:val="28"/>
        </w:rPr>
        <w:t>
      1) жоғары тәуекел;</w:t>
      </w:r>
    </w:p>
    <w:bookmarkEnd w:id="7"/>
    <w:bookmarkStart w:name="z13" w:id="8"/>
    <w:p>
      <w:pPr>
        <w:spacing w:after="0"/>
        <w:ind w:left="0"/>
        <w:jc w:val="both"/>
      </w:pPr>
      <w:r>
        <w:rPr>
          <w:rFonts w:ascii="Times New Roman"/>
          <w:b w:val="false"/>
          <w:i w:val="false"/>
          <w:color w:val="000000"/>
          <w:sz w:val="28"/>
        </w:rPr>
        <w:t>
      2) орташа тәуекел;</w:t>
      </w:r>
    </w:p>
    <w:bookmarkEnd w:id="8"/>
    <w:bookmarkStart w:name="z14" w:id="9"/>
    <w:p>
      <w:pPr>
        <w:spacing w:after="0"/>
        <w:ind w:left="0"/>
        <w:jc w:val="both"/>
      </w:pPr>
      <w:r>
        <w:rPr>
          <w:rFonts w:ascii="Times New Roman"/>
          <w:b w:val="false"/>
          <w:i w:val="false"/>
          <w:color w:val="000000"/>
          <w:sz w:val="28"/>
        </w:rPr>
        <w:t>
      3) төмен тәуекел.</w:t>
      </w:r>
    </w:p>
    <w:bookmarkEnd w:id="9"/>
    <w:p>
      <w:pPr>
        <w:spacing w:after="0"/>
        <w:ind w:left="0"/>
        <w:jc w:val="both"/>
      </w:pPr>
      <w:r>
        <w:rPr>
          <w:rFonts w:ascii="Times New Roman"/>
          <w:b w:val="false"/>
          <w:i w:val="false"/>
          <w:color w:val="000000"/>
          <w:sz w:val="28"/>
        </w:rPr>
        <w:t>
      Жоғары және орташа тәуекел дәрежесіне жатқызылған бақылау субъекті (объекті) үшін бақылау субъектісіне (объектісіне) бару арқылы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субъекті (объекті) үшін жоспардан тыс тексеру жүргізіледі.</w:t>
      </w:r>
    </w:p>
    <w:p>
      <w:pPr>
        <w:spacing w:after="0"/>
        <w:ind w:left="0"/>
        <w:jc w:val="both"/>
      </w:pPr>
      <w:r>
        <w:rPr>
          <w:rFonts w:ascii="Times New Roman"/>
          <w:b w:val="false"/>
          <w:i w:val="false"/>
          <w:color w:val="000000"/>
          <w:sz w:val="28"/>
        </w:rPr>
        <w:t>
      Екінші кезеңде субъективті критерийлер бойынша бақылау субъектісі (объектісі) мынадай тәуекел дәрежелерінің біріне жатады:</w:t>
      </w:r>
    </w:p>
    <w:bookmarkStart w:name="z15" w:id="10"/>
    <w:p>
      <w:pPr>
        <w:spacing w:after="0"/>
        <w:ind w:left="0"/>
        <w:jc w:val="both"/>
      </w:pPr>
      <w:r>
        <w:rPr>
          <w:rFonts w:ascii="Times New Roman"/>
          <w:b w:val="false"/>
          <w:i w:val="false"/>
          <w:color w:val="000000"/>
          <w:sz w:val="28"/>
        </w:rPr>
        <w:t>
      1) жоғары тәуекел;</w:t>
      </w:r>
    </w:p>
    <w:bookmarkEnd w:id="10"/>
    <w:bookmarkStart w:name="z16" w:id="11"/>
    <w:p>
      <w:pPr>
        <w:spacing w:after="0"/>
        <w:ind w:left="0"/>
        <w:jc w:val="both"/>
      </w:pPr>
      <w:r>
        <w:rPr>
          <w:rFonts w:ascii="Times New Roman"/>
          <w:b w:val="false"/>
          <w:i w:val="false"/>
          <w:color w:val="000000"/>
          <w:sz w:val="28"/>
        </w:rPr>
        <w:t>
      2) орташа тәуекел;</w:t>
      </w:r>
    </w:p>
    <w:bookmarkEnd w:id="11"/>
    <w:bookmarkStart w:name="z17" w:id="12"/>
    <w:p>
      <w:pPr>
        <w:spacing w:after="0"/>
        <w:ind w:left="0"/>
        <w:jc w:val="both"/>
      </w:pPr>
      <w:r>
        <w:rPr>
          <w:rFonts w:ascii="Times New Roman"/>
          <w:b w:val="false"/>
          <w:i w:val="false"/>
          <w:color w:val="000000"/>
          <w:sz w:val="28"/>
        </w:rPr>
        <w:t>
      3) төмен тәуекел.";</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9" w:id="13"/>
    <w:p>
      <w:pPr>
        <w:spacing w:after="0"/>
        <w:ind w:left="0"/>
        <w:jc w:val="both"/>
      </w:pPr>
      <w:r>
        <w:rPr>
          <w:rFonts w:ascii="Times New Roman"/>
          <w:b w:val="false"/>
          <w:i w:val="false"/>
          <w:color w:val="000000"/>
          <w:sz w:val="28"/>
        </w:rPr>
        <w:t>
      "8. Қолданылатын ақпарат көздерінің басымдығын және осы Қағидалардың 3-тарауында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13"/>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Start w:name="z20" w:id="14"/>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14"/>
    <w:bookmarkStart w:name="z21" w:id="15"/>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15"/>
    <w:bookmarkStart w:name="z22" w:id="16"/>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"13. Деректер базасын қалыптастыру және ақпарат жинау Қазақстан Республикасының заңнамасын бұзатын бақылау субъектісін (объектісін) анықтау үшін қажет.</w:t>
      </w:r>
    </w:p>
    <w:bookmarkEnd w:id="17"/>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p>
      <w:pPr>
        <w:spacing w:after="0"/>
        <w:ind w:left="0"/>
        <w:jc w:val="both"/>
      </w:pPr>
      <w:r>
        <w:rPr>
          <w:rFonts w:ascii="Times New Roman"/>
          <w:b w:val="false"/>
          <w:i w:val="false"/>
          <w:color w:val="000000"/>
          <w:sz w:val="28"/>
        </w:rPr>
        <w:t>
      Субъективті өлшемшарттардың тәуекел дәрежесін бағалау үшін мынадай ақпарат көздері пайдаланылады:</w:t>
      </w:r>
    </w:p>
    <w:bookmarkStart w:name="z25" w:id="18"/>
    <w:p>
      <w:pPr>
        <w:spacing w:after="0"/>
        <w:ind w:left="0"/>
        <w:jc w:val="both"/>
      </w:pPr>
      <w:r>
        <w:rPr>
          <w:rFonts w:ascii="Times New Roman"/>
          <w:b w:val="false"/>
          <w:i w:val="false"/>
          <w:color w:val="000000"/>
          <w:sz w:val="28"/>
        </w:rPr>
        <w:t>
      1) бақылау субъектіге (объектіге) алдыңғы жоспардан тыс тексерулер мен бару арқылы профилактикалық бақылаудың нәтижелері;</w:t>
      </w:r>
    </w:p>
    <w:bookmarkEnd w:id="18"/>
    <w:bookmarkStart w:name="z26" w:id="19"/>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28" w:id="20"/>
    <w:p>
      <w:pPr>
        <w:spacing w:after="0"/>
        <w:ind w:left="0"/>
        <w:jc w:val="both"/>
      </w:pPr>
      <w:r>
        <w:rPr>
          <w:rFonts w:ascii="Times New Roman"/>
          <w:b w:val="false"/>
          <w:i w:val="false"/>
          <w:color w:val="000000"/>
          <w:sz w:val="28"/>
        </w:rPr>
        <w:t>
      "3-тарау. Субъективті өлшемшарттар бойынша тәуекел дәрежесін есептеу тәртібі";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30" w:id="21"/>
    <w:p>
      <w:pPr>
        <w:spacing w:after="0"/>
        <w:ind w:left="0"/>
        <w:jc w:val="both"/>
      </w:pPr>
      <w:r>
        <w:rPr>
          <w:rFonts w:ascii="Times New Roman"/>
          <w:b w:val="false"/>
          <w:i w:val="false"/>
          <w:color w:val="000000"/>
          <w:sz w:val="28"/>
        </w:rPr>
        <w:t>
      "16. Осы Өлшемшарттардың 8-тармағына сәйкес бақылау субъектісін тәуекел дәрежесіне жатқызу үшін тәуекел дәрежесінің көрсеткішін есептеудің мынадай тәртібі қолданылады.</w:t>
      </w:r>
    </w:p>
    <w:bookmarkEnd w:id="21"/>
    <w:p>
      <w:pPr>
        <w:spacing w:after="0"/>
        <w:ind w:left="0"/>
        <w:jc w:val="both"/>
      </w:pPr>
      <w:r>
        <w:rPr>
          <w:rFonts w:ascii="Times New Roman"/>
          <w:b w:val="false"/>
          <w:i w:val="false"/>
          <w:color w:val="000000"/>
          <w:sz w:val="28"/>
        </w:rPr>
        <w:t>
      Мемлекеттік орган осы Өлшемшарттардың 13-тармағына сәйкес көздерден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8-тармағына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8-тармағына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31" w:id="22"/>
    <w:p>
      <w:pPr>
        <w:spacing w:after="0"/>
        <w:ind w:left="0"/>
        <w:jc w:val="both"/>
      </w:pPr>
      <w:r>
        <w:rPr>
          <w:rFonts w:ascii="Times New Roman"/>
          <w:b w:val="false"/>
          <w:i w:val="false"/>
          <w:color w:val="000000"/>
          <w:sz w:val="28"/>
        </w:rPr>
        <w:t xml:space="preserve">
      мынадай мазмұндағы 17-тармақпен толықтырылсын: </w:t>
      </w:r>
    </w:p>
    <w:bookmarkEnd w:id="22"/>
    <w:bookmarkStart w:name="z32" w:id="23"/>
    <w:p>
      <w:pPr>
        <w:spacing w:after="0"/>
        <w:ind w:left="0"/>
        <w:jc w:val="both"/>
      </w:pPr>
      <w:r>
        <w:rPr>
          <w:rFonts w:ascii="Times New Roman"/>
          <w:b w:val="false"/>
          <w:i w:val="false"/>
          <w:color w:val="000000"/>
          <w:sz w:val="28"/>
        </w:rPr>
        <w:t>
      "17.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23"/>
    <w:p>
      <w:pPr>
        <w:spacing w:after="0"/>
        <w:ind w:left="0"/>
        <w:jc w:val="both"/>
      </w:pPr>
      <w:r>
        <w:rPr>
          <w:rFonts w:ascii="Times New Roman"/>
          <w:b w:val="false"/>
          <w:i w:val="false"/>
          <w:color w:val="000000"/>
          <w:sz w:val="28"/>
        </w:rPr>
        <w:t>
      Осы Өлшемшарттардың 13-тармағында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33" w:id="24"/>
    <w:p>
      <w:pPr>
        <w:spacing w:after="0"/>
        <w:ind w:left="0"/>
        <w:jc w:val="both"/>
      </w:pPr>
      <w:r>
        <w:rPr>
          <w:rFonts w:ascii="Times New Roman"/>
          <w:b w:val="false"/>
          <w:i w:val="false"/>
          <w:color w:val="000000"/>
          <w:sz w:val="28"/>
        </w:rPr>
        <w:t xml:space="preserve">
      мынадай мазмұндағы 18-тармақпен толықтырылсын: </w:t>
      </w:r>
    </w:p>
    <w:bookmarkEnd w:id="24"/>
    <w:bookmarkStart w:name="z34" w:id="25"/>
    <w:p>
      <w:pPr>
        <w:spacing w:after="0"/>
        <w:ind w:left="0"/>
        <w:jc w:val="both"/>
      </w:pPr>
      <w:r>
        <w:rPr>
          <w:rFonts w:ascii="Times New Roman"/>
          <w:b w:val="false"/>
          <w:i w:val="false"/>
          <w:color w:val="000000"/>
          <w:sz w:val="28"/>
        </w:rPr>
        <w:t>
      "18. Осы Қағидалардың 8-тармағына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559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8-тармағына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35" w:id="26"/>
    <w:p>
      <w:pPr>
        <w:spacing w:after="0"/>
        <w:ind w:left="0"/>
        <w:jc w:val="both"/>
      </w:pPr>
      <w:r>
        <w:rPr>
          <w:rFonts w:ascii="Times New Roman"/>
          <w:b w:val="false"/>
          <w:i w:val="false"/>
          <w:color w:val="000000"/>
          <w:sz w:val="28"/>
        </w:rPr>
        <w:t xml:space="preserve">
      мынадай мазмұндағы 19-тармақпен толықтырылсын: </w:t>
      </w:r>
    </w:p>
    <w:bookmarkEnd w:id="26"/>
    <w:bookmarkStart w:name="z36" w:id="27"/>
    <w:p>
      <w:pPr>
        <w:spacing w:after="0"/>
        <w:ind w:left="0"/>
        <w:jc w:val="both"/>
      </w:pPr>
      <w:r>
        <w:rPr>
          <w:rFonts w:ascii="Times New Roman"/>
          <w:b w:val="false"/>
          <w:i w:val="false"/>
          <w:color w:val="000000"/>
          <w:sz w:val="28"/>
        </w:rPr>
        <w:t>
      "19.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16-тармағына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көрсетілген бірлескен бұйрыққа 2-қосымшаға сәйкес Лотерея операторына қатысты Қазақстан Республикасының лотереялар және лотерея қызметі туралы заңнамасын сақтаудың тексеру парағында:</w:t>
      </w:r>
    </w:p>
    <w:bookmarkStart w:name="z40" w:id="28"/>
    <w:p>
      <w:pPr>
        <w:spacing w:after="0"/>
        <w:ind w:left="0"/>
        <w:jc w:val="both"/>
      </w:pPr>
      <w:r>
        <w:rPr>
          <w:rFonts w:ascii="Times New Roman"/>
          <w:b w:val="false"/>
          <w:i w:val="false"/>
          <w:color w:val="000000"/>
          <w:sz w:val="28"/>
        </w:rPr>
        <w:t>
      бірінші абзац мынадай редакцияда жазылсын:</w:t>
      </w:r>
    </w:p>
    <w:bookmarkEnd w:id="28"/>
    <w:bookmarkStart w:name="z41" w:id="29"/>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 бақылауды тағайындаған мемлекеттік орган________________________________________________________________</w:t>
      </w:r>
    </w:p>
    <w:bookmarkEnd w:id="29"/>
    <w:p>
      <w:pPr>
        <w:spacing w:after="0"/>
        <w:ind w:left="0"/>
        <w:jc w:val="both"/>
      </w:pPr>
      <w:r>
        <w:rPr>
          <w:rFonts w:ascii="Times New Roman"/>
          <w:b w:val="false"/>
          <w:i w:val="false"/>
          <w:color w:val="000000"/>
          <w:sz w:val="28"/>
        </w:rPr>
        <w:t>
      ______________________________________________________________".</w:t>
      </w:r>
    </w:p>
    <w:bookmarkStart w:name="z42" w:id="30"/>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заңнамамен белгіленген тәртіппен:</w:t>
      </w:r>
    </w:p>
    <w:bookmarkEnd w:id="30"/>
    <w:bookmarkStart w:name="z43" w:id="31"/>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1"/>
    <w:bookmarkStart w:name="z44" w:id="32"/>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32"/>
    <w:bookmarkStart w:name="z45" w:id="33"/>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w:t>
      </w:r>
    </w:p>
    <w:bookmarkEnd w:id="33"/>
    <w:bookmarkStart w:name="z46" w:id="3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мәдениет және спорт вице-министріне жүктелсін.</w:t>
      </w:r>
    </w:p>
    <w:bookmarkEnd w:id="34"/>
    <w:bookmarkStart w:name="z47" w:id="3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w:t>
            </w:r>
          </w:p>
          <w:p>
            <w:pPr>
              <w:spacing w:after="20"/>
              <w:ind w:left="20"/>
              <w:jc w:val="both"/>
            </w:pPr>
            <w:r>
              <w:rPr>
                <w:rFonts w:ascii="Times New Roman"/>
                <w:b w:val="false"/>
                <w:i/>
                <w:color w:val="000000"/>
                <w:sz w:val="20"/>
              </w:rPr>
              <w:t>министрінің м.а.</w:t>
            </w:r>
          </w:p>
          <w:p>
            <w:pPr>
              <w:spacing w:after="20"/>
              <w:ind w:left="20"/>
              <w:jc w:val="both"/>
            </w:pPr>
            <w:r>
              <w:rPr>
                <w:rFonts w:ascii="Times New Roman"/>
                <w:b w:val="false"/>
                <w:i/>
                <w:color w:val="000000"/>
                <w:sz w:val="20"/>
              </w:rPr>
              <w:t>__________Т. Жаксылыков</w:t>
            </w:r>
          </w:p>
          <w:p>
            <w:pPr>
              <w:spacing w:after="20"/>
              <w:ind w:left="20"/>
              <w:jc w:val="both"/>
            </w:pPr>
            <w:r>
              <w:rPr>
                <w:rFonts w:ascii="Times New Roman"/>
                <w:b w:val="false"/>
                <w:i/>
                <w:color w:val="000000"/>
                <w:sz w:val="20"/>
              </w:rPr>
              <w:t xml:space="preserve">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РеспубликасыМәдениет және спортМинистрініңміндетін атқарушы__________С. Құранбек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м.а. </w:t>
            </w:r>
            <w:r>
              <w:br/>
            </w:r>
            <w:r>
              <w:rPr>
                <w:rFonts w:ascii="Times New Roman"/>
                <w:b w:val="false"/>
                <w:i w:val="false"/>
                <w:color w:val="000000"/>
                <w:sz w:val="20"/>
              </w:rPr>
              <w:t>2023 жылғы 5 мамырдағы</w:t>
            </w:r>
            <w:r>
              <w:br/>
            </w:r>
            <w:r>
              <w:rPr>
                <w:rFonts w:ascii="Times New Roman"/>
                <w:b w:val="false"/>
                <w:i w:val="false"/>
                <w:color w:val="000000"/>
                <w:sz w:val="20"/>
              </w:rPr>
              <w:t xml:space="preserve">№ 60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5 мамырдағы</w:t>
            </w:r>
            <w:r>
              <w:br/>
            </w:r>
            <w:r>
              <w:rPr>
                <w:rFonts w:ascii="Times New Roman"/>
                <w:b w:val="false"/>
                <w:i w:val="false"/>
                <w:color w:val="000000"/>
                <w:sz w:val="20"/>
              </w:rPr>
              <w:t>№ 113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лотереялар және лотерея</w:t>
            </w:r>
            <w:r>
              <w:br/>
            </w:r>
            <w:r>
              <w:rPr>
                <w:rFonts w:ascii="Times New Roman"/>
                <w:b w:val="false"/>
                <w:i w:val="false"/>
                <w:color w:val="000000"/>
                <w:sz w:val="20"/>
              </w:rPr>
              <w:t>қызметі туралы заңнамасының</w:t>
            </w:r>
            <w:r>
              <w:br/>
            </w:r>
            <w:r>
              <w:rPr>
                <w:rFonts w:ascii="Times New Roman"/>
                <w:b w:val="false"/>
                <w:i w:val="false"/>
                <w:color w:val="000000"/>
                <w:sz w:val="20"/>
              </w:rPr>
              <w:t>сақталуына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49" w:id="36"/>
    <w:p>
      <w:pPr>
        <w:spacing w:after="0"/>
        <w:ind w:left="0"/>
        <w:jc w:val="left"/>
      </w:pPr>
      <w:r>
        <w:rPr>
          <w:rFonts w:ascii="Times New Roman"/>
          <w:b/>
          <w:i w:val="false"/>
          <w:color w:val="000000"/>
        </w:rPr>
        <w:t xml:space="preserve"> Лотерея және лотерея қызметі саласындағы бақылау субъектісіне (объектісіне) қойылатын талаптарды бұзу дәрежесі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таратылған (өткізілген) лотерея билеттері, түбіртектер немесе өзге де құжаттар, өткізілген лотерея билеттерінен, түбіртектерден немесе өзге де құжаттардан түскен түсім, төленген ұтыстар туралы ақпаратты жинауды, қалыптастыруды, сақтауды және есепке алуды қамтамасыз ету жөніндегі талаптарды сақтамауы және оны айына кемінде бір рет лотерея ақпаратын өңдеу орталығы арқылы лотерея есептілігі орталығына табыс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тапсырма шартының талаптарында тек қана он сегіз жасқа толған жеке тұлғалар арасында лотерея билеттерін, түбіртектерді немесе өзге де құжаттарды тарату (өткізу) бойынша лотерея таратушының (агенттің) міндеттемесінің болуы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тапсырма шартының талаптарында лотерея таратушының (агенттің) лотереяға қатысушыларға ұтыстарды төлеу жөніндегі міндеттемесінің болуы жөніндегі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лотереяны өткізу шарттарын және лотереяға қатысушы сатып алған лотерея билетінің, түбіртектің немесе өзге де құжаттың негізінде ұтысты төлеу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ұтқан лотерея қатысушысы туралы мәліметтерді, егер оның жазбаша келісімі алынбаса, жария етпеу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Қазақстан Республикасының лотереялар және лотерея қызметі туралы заңнамасында көзделген тәртіппен ұйымдастырылатын және өткізілетін лотереялардан басқа, Қазақстан Республикасында өзге де лотереяларды ұйымдастыруға және өткізуге тыйым салу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лотереялар түрінде құмар ойындарды және (немесе) бәс тігуді өткізуге жол бермеу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өткізуден басқа кәсіпкерлік қызметтің өзге түрлерімен айналысуға тыйым салу туралы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лотереяны таратушымен (агентпен), атап айтқанда жеке кәсіпкермен немесе лотерея билеттерін, түбіртектерді немесе өзге де құжаттарды сыйақы үшін таратуды (өткізуді), ұтыс лотерея билеттерін, түбіртектерді немесе өзге де құжаттарды тексеруді, сондай-ақ лотерея операторының атынан және оның есебінен ұтыстарды төлеуді жүзеге асыратын заңды тұлғамен тапсырма шартын жасасу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терминалдары модельдері бақылау-касса машиналарының мемлекеттік тізіліміне енгізілген бақылау-касса машиналарымен жарақтандыру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Қазақстан Республикасының аумағында лотерея ақпаратын өңдеу орталығының орналасуы бойынша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ақпаратын өңдеу орталығына және лотерея есептілігі орталығына ақпаратты жоғалтудан, ұрлаудан, бұрмалаудан, қолдан жасаудан, рұқсат етілмеген қол жеткізуден және оны тарату, бұғаттау, жою, түрлендіру, көшіру жөніндегі іс-әрекеттерден және өзге де заңсыз іс-әрекеттерден қорғауды қамтамасыз ету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жабдығына қойылатын талаптарды сақтамауы:</w:t>
            </w:r>
          </w:p>
          <w:p>
            <w:pPr>
              <w:spacing w:after="20"/>
              <w:ind w:left="20"/>
              <w:jc w:val="both"/>
            </w:pPr>
            <w:r>
              <w:rPr>
                <w:rFonts w:ascii="Times New Roman"/>
                <w:b w:val="false"/>
                <w:i w:val="false"/>
                <w:color w:val="000000"/>
                <w:sz w:val="20"/>
              </w:rPr>
              <w:t>
техникалық сипаттамалар жүлде қорын ұтыс ойыны кезінде ұтыстарды бөлудің кездейсоқтығын қамтамасыз етуі тиіс;</w:t>
            </w:r>
          </w:p>
          <w:p>
            <w:pPr>
              <w:spacing w:after="20"/>
              <w:ind w:left="20"/>
              <w:jc w:val="both"/>
            </w:pPr>
            <w:r>
              <w:rPr>
                <w:rFonts w:ascii="Times New Roman"/>
                <w:b w:val="false"/>
                <w:i w:val="false"/>
                <w:color w:val="000000"/>
                <w:sz w:val="20"/>
              </w:rPr>
              <w:t>
жүлде қорының ұтыс ойынын өткізу нәтижесін осындай ұтыс ойыны басталғанға дейін алдын ала анықтауға мүмкіндік беретін жасырын мүмкіндіктер және (немесе) рәсімдер мен алгоритмдер болмауға тиіс;</w:t>
            </w:r>
          </w:p>
          <w:p>
            <w:pPr>
              <w:spacing w:after="20"/>
              <w:ind w:left="20"/>
              <w:jc w:val="both"/>
            </w:pPr>
            <w:r>
              <w:rPr>
                <w:rFonts w:ascii="Times New Roman"/>
                <w:b w:val="false"/>
                <w:i w:val="false"/>
                <w:color w:val="000000"/>
                <w:sz w:val="20"/>
              </w:rPr>
              <w:t>
байланыс желісі бойынша лотерея терминалдарымен қосылмауға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мынадай мәліметтерді қамтитын лотереяны өткізу шарттарын әзірлеу және бекіту жөніндегі талаптарды сақтамауы:</w:t>
            </w:r>
          </w:p>
          <w:p>
            <w:pPr>
              <w:spacing w:after="20"/>
              <w:ind w:left="20"/>
              <w:jc w:val="both"/>
            </w:pPr>
            <w:r>
              <w:rPr>
                <w:rFonts w:ascii="Times New Roman"/>
                <w:b w:val="false"/>
                <w:i w:val="false"/>
                <w:color w:val="000000"/>
                <w:sz w:val="20"/>
              </w:rPr>
              <w:t>
1) лотереяның атауы;</w:t>
            </w:r>
          </w:p>
          <w:p>
            <w:pPr>
              <w:spacing w:after="20"/>
              <w:ind w:left="20"/>
              <w:jc w:val="both"/>
            </w:pPr>
            <w:r>
              <w:rPr>
                <w:rFonts w:ascii="Times New Roman"/>
                <w:b w:val="false"/>
                <w:i w:val="false"/>
                <w:color w:val="000000"/>
                <w:sz w:val="20"/>
              </w:rPr>
              <w:t>
2) лотерея өткізу тәсілінің, аумағының және технологиясының, сондай-ақ жүлде қорын қалыптастыру тәсілінің көрсету;</w:t>
            </w:r>
          </w:p>
          <w:p>
            <w:pPr>
              <w:spacing w:after="20"/>
              <w:ind w:left="20"/>
              <w:jc w:val="both"/>
            </w:pPr>
            <w:r>
              <w:rPr>
                <w:rFonts w:ascii="Times New Roman"/>
                <w:b w:val="false"/>
                <w:i w:val="false"/>
                <w:color w:val="000000"/>
                <w:sz w:val="20"/>
              </w:rPr>
              <w:t xml:space="preserve">
3) орналасқан жері, банктік деректемелері, бизнес сәйкестендіру нөмірі көрсетілген лотерея операторының атауы; </w:t>
            </w:r>
          </w:p>
          <w:p>
            <w:pPr>
              <w:spacing w:after="20"/>
              <w:ind w:left="20"/>
              <w:jc w:val="both"/>
            </w:pPr>
            <w:r>
              <w:rPr>
                <w:rFonts w:ascii="Times New Roman"/>
                <w:b w:val="false"/>
                <w:i w:val="false"/>
                <w:color w:val="000000"/>
                <w:sz w:val="20"/>
              </w:rPr>
              <w:t>
4) лотереяны өткізілетін мерзімдері;</w:t>
            </w:r>
          </w:p>
          <w:p>
            <w:pPr>
              <w:spacing w:after="20"/>
              <w:ind w:left="20"/>
              <w:jc w:val="both"/>
            </w:pPr>
            <w:r>
              <w:rPr>
                <w:rFonts w:ascii="Times New Roman"/>
                <w:b w:val="false"/>
                <w:i w:val="false"/>
                <w:color w:val="000000"/>
                <w:sz w:val="20"/>
              </w:rPr>
              <w:t>
5) лотерея тұжырымдамасының сипаттамасы;</w:t>
            </w:r>
          </w:p>
          <w:p>
            <w:pPr>
              <w:spacing w:after="20"/>
              <w:ind w:left="20"/>
              <w:jc w:val="both"/>
            </w:pPr>
            <w:r>
              <w:rPr>
                <w:rFonts w:ascii="Times New Roman"/>
                <w:b w:val="false"/>
                <w:i w:val="false"/>
                <w:color w:val="000000"/>
                <w:sz w:val="20"/>
              </w:rPr>
              <w:t>
6) лотереяның ұйымдастырушылық-технологиялық сипаттамасы;</w:t>
            </w:r>
          </w:p>
          <w:p>
            <w:pPr>
              <w:spacing w:after="20"/>
              <w:ind w:left="20"/>
              <w:jc w:val="both"/>
            </w:pPr>
            <w:r>
              <w:rPr>
                <w:rFonts w:ascii="Times New Roman"/>
                <w:b w:val="false"/>
                <w:i w:val="false"/>
                <w:color w:val="000000"/>
                <w:sz w:val="20"/>
              </w:rPr>
              <w:t>
7) лотереяға қатысушылардың құқықтары мен міндеттері;</w:t>
            </w:r>
          </w:p>
          <w:p>
            <w:pPr>
              <w:spacing w:after="20"/>
              <w:ind w:left="20"/>
              <w:jc w:val="both"/>
            </w:pPr>
            <w:r>
              <w:rPr>
                <w:rFonts w:ascii="Times New Roman"/>
                <w:b w:val="false"/>
                <w:i w:val="false"/>
                <w:color w:val="000000"/>
                <w:sz w:val="20"/>
              </w:rPr>
              <w:t>
8) ұтты деп танылған лотереяға қатысушыға ұтысты төлеу тәртібі мен мерзімдерін, сондай-ақ ұтыс шыққан лотерея билеттеріне, түбіртектерге немесе өзге де құжаттарға сараптама жүргізу мерзімдері</w:t>
            </w:r>
          </w:p>
          <w:p>
            <w:pPr>
              <w:spacing w:after="20"/>
              <w:ind w:left="20"/>
              <w:jc w:val="both"/>
            </w:pPr>
            <w:r>
              <w:rPr>
                <w:rFonts w:ascii="Times New Roman"/>
                <w:b w:val="false"/>
                <w:i w:val="false"/>
                <w:color w:val="000000"/>
                <w:sz w:val="20"/>
              </w:rPr>
              <w:t>
9) лотереяға қатысушыларды лотереяға қатысу қағидалары және жүлде қорын ұтысқа салу нәтижелері туралы хабардар ету тәртібі;</w:t>
            </w:r>
          </w:p>
          <w:p>
            <w:pPr>
              <w:spacing w:after="20"/>
              <w:ind w:left="20"/>
              <w:jc w:val="both"/>
            </w:pPr>
            <w:r>
              <w:rPr>
                <w:rFonts w:ascii="Times New Roman"/>
                <w:b w:val="false"/>
                <w:i w:val="false"/>
                <w:color w:val="000000"/>
                <w:sz w:val="20"/>
              </w:rPr>
              <w:t>
10) лотерея билеттерін, түбіртіктерді немесе өзге де құжаттарды тарату (өткізу) тәртібі;</w:t>
            </w:r>
          </w:p>
          <w:p>
            <w:pPr>
              <w:spacing w:after="20"/>
              <w:ind w:left="20"/>
              <w:jc w:val="both"/>
            </w:pPr>
            <w:r>
              <w:rPr>
                <w:rFonts w:ascii="Times New Roman"/>
                <w:b w:val="false"/>
                <w:i w:val="false"/>
                <w:color w:val="000000"/>
                <w:sz w:val="20"/>
              </w:rPr>
              <w:t>
11) лотерея билетінің, түбіртектің немесе өзге де құжаттың бағасы;</w:t>
            </w:r>
          </w:p>
          <w:p>
            <w:pPr>
              <w:spacing w:after="20"/>
              <w:ind w:left="20"/>
              <w:jc w:val="both"/>
            </w:pPr>
            <w:r>
              <w:rPr>
                <w:rFonts w:ascii="Times New Roman"/>
                <w:b w:val="false"/>
                <w:i w:val="false"/>
                <w:color w:val="000000"/>
                <w:sz w:val="20"/>
              </w:rPr>
              <w:t>
12) ұтыстың мөлшері мен нысанын (ақшалай немесе заттай);</w:t>
            </w:r>
          </w:p>
          <w:p>
            <w:pPr>
              <w:spacing w:after="20"/>
              <w:ind w:left="20"/>
              <w:jc w:val="both"/>
            </w:pPr>
            <w:r>
              <w:rPr>
                <w:rFonts w:ascii="Times New Roman"/>
                <w:b w:val="false"/>
                <w:i w:val="false"/>
                <w:color w:val="000000"/>
                <w:sz w:val="20"/>
              </w:rPr>
              <w:t xml:space="preserve">
13) жүлде қорының жоспарланып отырған мөлшері; </w:t>
            </w:r>
          </w:p>
          <w:p>
            <w:pPr>
              <w:spacing w:after="20"/>
              <w:ind w:left="20"/>
              <w:jc w:val="both"/>
            </w:pPr>
            <w:r>
              <w:rPr>
                <w:rFonts w:ascii="Times New Roman"/>
                <w:b w:val="false"/>
                <w:i w:val="false"/>
                <w:color w:val="000000"/>
                <w:sz w:val="20"/>
              </w:rPr>
              <w:t>
14) жүлде қорының ұтыс ойынын өткізу тәртібін, ұтыстарды айқындау алгоритмін, бас жүлдені (бар болса) қалыптастыру мен ұтысқа салу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операторы бекіткен лотереяны өткізу шарттарының түпнұсқа данасын Лотерея және лотерея қызметі саласындағы уәкілетті органға оны өткізу басталғанға дейін күнтізбелік он күннен кешіктірмей жіберу және лотереяны өткізу шарттарын оны өткізу басталғанға дейін күнтізбелік бір күннен кешіктірмей өзінің интернет-ресурсында орналастыру бойынша міндеттемені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сатылған лотерея билеттерінен, түбіртектерден немесе нақты лотереяның өзге де құжаттарынан түскен түсімнің кемінде елу пайызы мөлшерінде не өз қаражаты есебінен жүлде қорын қалыптастыруды қамтамасыз ету жөніндегі міндеттемелерді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тираждық лотереяның жүлде қорын оны ойнату басталғанға дейін қалыптастыру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лотереяға қатысушылар алдындағы ұтыстарды төлеу жөніндегі, сондай-ақ жүлде қорының қаражатын ұтыстарды төлеуден өзгеше пайдалану жөніндегі міндеттемелерді қоспағанда, жүлде қорына қандай да бір міндеттемелермен ауыртпалық салуға тыйым салу жөніндегі талапты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жүлде қорын (бас жүлдені) бірнеше тираж бойына жинақтап қалыптастыру қағидаты өткізу шарттарында пайдаланылатын тираждық лотереяны қоспағанда, тираждық лотереяның жүлде қоры оған қатысы бар тираж шеңберінде толығымен ұтысқа салу бойынша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өткізу шарттарына сәйкес ұтқан деп танылған лотереяға қатысушыға лотерея өткізу шарттарына сәйкес ұтыстарды мөлшері мен нысанында (ақшалай немесе заттай) төлеу жөніндегі талапты сақтамауы (ұтыстарды төлеу тиісті таралым өткізілгеннен кейін отыз күн мерзімнен кешіктірілмей басталуы және нәтижелері жарияланған сәттен бастап кемінде алты ай жалғасуы тиіс (жүлде қорының ұтыс ойыны)).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өткізу шарттарында белгіленген мерзімде талап етілмеген ұтыстарды тиісті тираждың (жүлде қорының ұтыс ойынының) нәтижелері жарияланған кезден бастап үш жыл ішінде сақтау жөніндегі талапты сақтамауы, содан кейін олар салық емес төлем түрінде бюджет кірісіне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нысанды қоспағанда, лотерея билеттеріндегі, түбіртектердегі немесе өзге де құжаттардағы төмендегідей міндетті ақпараттың мазмұны бойынша талапты сақтамау:</w:t>
            </w:r>
          </w:p>
          <w:p>
            <w:pPr>
              <w:spacing w:after="20"/>
              <w:ind w:left="20"/>
              <w:jc w:val="both"/>
            </w:pPr>
            <w:r>
              <w:rPr>
                <w:rFonts w:ascii="Times New Roman"/>
                <w:b w:val="false"/>
                <w:i w:val="false"/>
                <w:color w:val="000000"/>
                <w:sz w:val="20"/>
              </w:rPr>
              <w:t>
1) лотереяның атауы;</w:t>
            </w:r>
          </w:p>
          <w:p>
            <w:pPr>
              <w:spacing w:after="20"/>
              <w:ind w:left="20"/>
              <w:jc w:val="both"/>
            </w:pPr>
            <w:r>
              <w:rPr>
                <w:rFonts w:ascii="Times New Roman"/>
                <w:b w:val="false"/>
                <w:i w:val="false"/>
                <w:color w:val="000000"/>
                <w:sz w:val="20"/>
              </w:rPr>
              <w:t>
2) лотерея операторының атауы, орналасқан жері, телефон нөмірлері және интернет-ресурсы;</w:t>
            </w:r>
          </w:p>
          <w:p>
            <w:pPr>
              <w:spacing w:after="20"/>
              <w:ind w:left="20"/>
              <w:jc w:val="both"/>
            </w:pPr>
            <w:r>
              <w:rPr>
                <w:rFonts w:ascii="Times New Roman"/>
                <w:b w:val="false"/>
                <w:i w:val="false"/>
                <w:color w:val="000000"/>
                <w:sz w:val="20"/>
              </w:rPr>
              <w:t>
3) тираждың нөмірі немесе атауы (тираждық лотереялар үшін);</w:t>
            </w:r>
          </w:p>
          <w:p>
            <w:pPr>
              <w:spacing w:after="20"/>
              <w:ind w:left="20"/>
              <w:jc w:val="both"/>
            </w:pPr>
            <w:r>
              <w:rPr>
                <w:rFonts w:ascii="Times New Roman"/>
                <w:b w:val="false"/>
                <w:i w:val="false"/>
                <w:color w:val="000000"/>
                <w:sz w:val="20"/>
              </w:rPr>
              <w:t>
4) лотерея билетінің, түбіртектің немесе өзге де құжаттың нөмірі;</w:t>
            </w:r>
          </w:p>
          <w:p>
            <w:pPr>
              <w:spacing w:after="20"/>
              <w:ind w:left="20"/>
              <w:jc w:val="both"/>
            </w:pPr>
            <w:r>
              <w:rPr>
                <w:rFonts w:ascii="Times New Roman"/>
                <w:b w:val="false"/>
                <w:i w:val="false"/>
                <w:color w:val="000000"/>
                <w:sz w:val="20"/>
              </w:rPr>
              <w:t>
5) лотерея билетінің, түбіртектің немесе өзге де құжаттың бағасы;</w:t>
            </w:r>
          </w:p>
          <w:p>
            <w:pPr>
              <w:spacing w:after="20"/>
              <w:ind w:left="20"/>
              <w:jc w:val="both"/>
            </w:pPr>
            <w:r>
              <w:rPr>
                <w:rFonts w:ascii="Times New Roman"/>
                <w:b w:val="false"/>
                <w:i w:val="false"/>
                <w:color w:val="000000"/>
                <w:sz w:val="20"/>
              </w:rPr>
              <w:t>
6) жүлде қорының ұтыс ойынын өткізу күні мен орны (тираждық лотерея үшін);</w:t>
            </w:r>
          </w:p>
          <w:p>
            <w:pPr>
              <w:spacing w:after="20"/>
              <w:ind w:left="20"/>
              <w:jc w:val="both"/>
            </w:pPr>
            <w:r>
              <w:rPr>
                <w:rFonts w:ascii="Times New Roman"/>
                <w:b w:val="false"/>
                <w:i w:val="false"/>
                <w:color w:val="000000"/>
                <w:sz w:val="20"/>
              </w:rPr>
              <w:t>
7) ұтысты алу орны мен мерзімі туралы деректер;</w:t>
            </w:r>
          </w:p>
          <w:p>
            <w:pPr>
              <w:spacing w:after="20"/>
              <w:ind w:left="20"/>
              <w:jc w:val="both"/>
            </w:pPr>
            <w:r>
              <w:rPr>
                <w:rFonts w:ascii="Times New Roman"/>
                <w:b w:val="false"/>
                <w:i w:val="false"/>
                <w:color w:val="000000"/>
                <w:sz w:val="20"/>
              </w:rPr>
              <w:t>
8) жүлде қорының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билеттерінің, түбіртектердің немесе өзге де құжаттардың электрондық нысанына міндетті ақпараттың мазмұны бойынша талапты сақтамауы:</w:t>
            </w:r>
          </w:p>
          <w:p>
            <w:pPr>
              <w:spacing w:after="20"/>
              <w:ind w:left="20"/>
              <w:jc w:val="both"/>
            </w:pPr>
            <w:r>
              <w:rPr>
                <w:rFonts w:ascii="Times New Roman"/>
                <w:b w:val="false"/>
                <w:i w:val="false"/>
                <w:color w:val="000000"/>
                <w:sz w:val="20"/>
              </w:rPr>
              <w:t>
1) лотерея операторының атауы;</w:t>
            </w:r>
          </w:p>
          <w:p>
            <w:pPr>
              <w:spacing w:after="20"/>
              <w:ind w:left="20"/>
              <w:jc w:val="both"/>
            </w:pPr>
            <w:r>
              <w:rPr>
                <w:rFonts w:ascii="Times New Roman"/>
                <w:b w:val="false"/>
                <w:i w:val="false"/>
                <w:color w:val="000000"/>
                <w:sz w:val="20"/>
              </w:rPr>
              <w:t>
2) лотерея билетінің, түбіртектің немесе өзге де құжаттың нөмірі;</w:t>
            </w:r>
          </w:p>
          <w:p>
            <w:pPr>
              <w:spacing w:after="20"/>
              <w:ind w:left="20"/>
              <w:jc w:val="both"/>
            </w:pPr>
            <w:r>
              <w:rPr>
                <w:rFonts w:ascii="Times New Roman"/>
                <w:b w:val="false"/>
                <w:i w:val="false"/>
                <w:color w:val="000000"/>
                <w:sz w:val="20"/>
              </w:rPr>
              <w:t>
3) лотерея билетінің, түбіртектің немесе өзге де құжаттың бағасы;</w:t>
            </w:r>
          </w:p>
          <w:p>
            <w:pPr>
              <w:spacing w:after="20"/>
              <w:ind w:left="20"/>
              <w:jc w:val="both"/>
            </w:pPr>
            <w:r>
              <w:rPr>
                <w:rFonts w:ascii="Times New Roman"/>
                <w:b w:val="false"/>
                <w:i w:val="false"/>
                <w:color w:val="000000"/>
                <w:sz w:val="20"/>
              </w:rPr>
              <w:t>
4) лотерея операторының орналасқан жері, телефон нөмірлері және интернет-ресурсы, лотереяның атауы, тираждың нөмірі немесе атауы (тираждық лотереялар үшін), жүлде қорының ұтыс ойынын өткізу күні мен орны (тираждық лотерея үшін), ұтысты алу орны мен мерзімдері, жүлде қорының мөлшері туралы кеңейтілген ақпаратқа қол жеткізуге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лотерея билеттерінде, түбіртектерде немесе өзге де құжаттарда қамтылған ақпараттың орфография және түпнұсқалық аударма нормаларының талаптарын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тираждық лотереяның жүлде қорын кездейсоқ түрде ұтқан лотерея комбинациясын генерациялау жолымен лотерея жабдығымен ұтыс ойынын жүзеге асыру бойынша талапты сақтамауы, оны лотерея қатысушысы өз ұтысын анықтау мақсатында осы ұтыс ойынындағы лотерея комбинациясымен салыстыруға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тираждық лотереяның жүлде қорының ұтыс ойынын өткізу кезінде тираждық комиссия құру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ұтыстарды телеарнада тікелей эфирде немесе интернет желісінде айқындау рәсімін көрсете отырып, тираждық лотереяның жүлде қорының ұтыс ойынын трансляциялауды қамтамасыз ету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Қазақстан Республикасының бүкіл аумағында таратылатын мерзімді баспа басылымдарында үш жұмыс күні ішінде жүлде қорының және лотерея билеттері, түбіртектер немесе тираждық лотереяның өзге де құжаттары бойынша ұтыстардың әрбір ұтыс ойынының нәтижелерін жариялау жөніндегі талапты сақтамауы немесе лотерея операторының интернет-ресурсында көрсетілген ұтыс ойыны өткізілген кезден бастап он екі сағат ішінде орналастыруы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тираждық лотереяны өткізу тоқтатылған жағдайда, бас жүлдені қоса алғанда, жүлде қорын толық ойнату бойынша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операторының дене шынықтыруды және спортты дамытуға бағытталған бюджеттен тыс ақша қаражатын бөлу жөніндегі қызметті жүзеге асыратын бірыңғай операторға өткізілген лотерея билеттерінен, түбіртектерден немесе өзге де құжаттардан, тіркелген лотерея мөлшерлемелерінен түскен түсім мен жүлде қоры арасындағы айырманың кемінде он пайызын спортты дамытуға тоқсан сайын бағыттау міндетін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(шекті сомаға тең немесе одан асатын операция) туралы ақпаратты ұсынбау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қаржы мониторингі жөніндегі уәкілетті органға дереу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ішкі бақылауды ұйымдастыру бағдарламасы;</w:t>
            </w:r>
          </w:p>
          <w:p>
            <w:pPr>
              <w:spacing w:after="20"/>
              <w:ind w:left="20"/>
              <w:jc w:val="both"/>
            </w:pPr>
            <w:r>
              <w:rPr>
                <w:rFonts w:ascii="Times New Roman"/>
                <w:b w:val="false"/>
                <w:i w:val="false"/>
                <w:color w:val="000000"/>
                <w:sz w:val="20"/>
              </w:rPr>
              <w:t xml:space="preserve">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 </w:t>
            </w:r>
          </w:p>
          <w:p>
            <w:pPr>
              <w:spacing w:after="20"/>
              <w:ind w:left="20"/>
              <w:jc w:val="both"/>
            </w:pPr>
            <w:r>
              <w:rPr>
                <w:rFonts w:ascii="Times New Roman"/>
                <w:b w:val="false"/>
                <w:i w:val="false"/>
                <w:color w:val="000000"/>
                <w:sz w:val="20"/>
              </w:rPr>
              <w:t>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операциялар жүргізуден бас тарту және (немесе) іскерлік қатынастар орнатудан және қаржы мониторингі жөніндегі уәкілетті органға ақшамен және (немесе) мүлікпен операциялар жүргізуден бас тарту туралы ақпарат ұсынудан бас тарту жөніндегі міндеттерді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м.а. </w:t>
            </w:r>
            <w:r>
              <w:br/>
            </w:r>
            <w:r>
              <w:rPr>
                <w:rFonts w:ascii="Times New Roman"/>
                <w:b w:val="false"/>
                <w:i w:val="false"/>
                <w:color w:val="000000"/>
                <w:sz w:val="20"/>
              </w:rPr>
              <w:t>2023 жылғы 5 мамырдағы</w:t>
            </w:r>
            <w:r>
              <w:br/>
            </w:r>
            <w:r>
              <w:rPr>
                <w:rFonts w:ascii="Times New Roman"/>
                <w:b w:val="false"/>
                <w:i w:val="false"/>
                <w:color w:val="000000"/>
                <w:sz w:val="20"/>
              </w:rPr>
              <w:t xml:space="preserve">№ 60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5 мамырдағы</w:t>
            </w:r>
            <w:r>
              <w:br/>
            </w:r>
            <w:r>
              <w:rPr>
                <w:rFonts w:ascii="Times New Roman"/>
                <w:b w:val="false"/>
                <w:i w:val="false"/>
                <w:color w:val="000000"/>
                <w:sz w:val="20"/>
              </w:rPr>
              <w:t>№ 113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лотереялар және лотерея</w:t>
            </w:r>
            <w:r>
              <w:br/>
            </w:r>
            <w:r>
              <w:rPr>
                <w:rFonts w:ascii="Times New Roman"/>
                <w:b w:val="false"/>
                <w:i w:val="false"/>
                <w:color w:val="000000"/>
                <w:sz w:val="20"/>
              </w:rPr>
              <w:t>қызметі туралы заңнамасының</w:t>
            </w:r>
            <w:r>
              <w:br/>
            </w:r>
            <w:r>
              <w:rPr>
                <w:rFonts w:ascii="Times New Roman"/>
                <w:b w:val="false"/>
                <w:i w:val="false"/>
                <w:color w:val="000000"/>
                <w:sz w:val="20"/>
              </w:rPr>
              <w:t>сақталуына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51" w:id="37"/>
    <w:p>
      <w:pPr>
        <w:spacing w:after="0"/>
        <w:ind w:left="0"/>
        <w:jc w:val="left"/>
      </w:pPr>
      <w:r>
        <w:rPr>
          <w:rFonts w:ascii="Times New Roman"/>
          <w:b/>
          <w:i w:val="false"/>
          <w:color w:val="000000"/>
        </w:rPr>
        <w:t xml:space="preserve"> Қазақстан Республикасының лотереялар және лотерея қызметі туралы заңнамасының сақталуына субъективті критерийлер бойынша тәуекел дәрежесін айқындау үшін субъективті критерийлер тізбесі </w:t>
      </w:r>
    </w:p>
    <w:bookmarkEnd w:id="37"/>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Шарттар </w:t>
            </w:r>
            <w:r>
              <w:rPr>
                <w:rFonts w:ascii="Times New Roman"/>
                <w:b/>
                <w:i w:val="false"/>
                <w:color w:val="000000"/>
                <w:sz w:val="20"/>
              </w:rPr>
              <w:t>/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орындалмаған ұсынымдардың саны олар тапсырылған күннен кейінгі күннен бастап он жұмыс күні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