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6c70" w14:textId="9366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сумен жабдықтау және су бұру жүйелерін пайдалану қағидаларын бекіту туралы" Қазақстан Республикасы Ұлттық экономика министрінің 2015 жылғы 28 ақпандағы № 163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5 мамырдағы № 325 бұйрығы. Қазақстан Республикасының Әділет министрлігінде 2023 жылғы 11 мамырда № 32460 болып тіркелді</w:t>
      </w:r>
    </w:p>
    <w:p>
      <w:pPr>
        <w:spacing w:after="0"/>
        <w:ind w:left="0"/>
        <w:jc w:val="both"/>
      </w:pPr>
      <w:r>
        <w:rPr>
          <w:rFonts w:ascii="Times New Roman"/>
          <w:b w:val="false"/>
          <w:i w:val="false"/>
          <w:color w:val="000000"/>
          <w:sz w:val="28"/>
        </w:rPr>
        <w:t>
      БҰЙРАМЫН: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"Елді мекендердің сумен жабдықтау және су бұру жүйелерін пайдалану қағидаларын бекіту туралы" Қазақстан Республикасы Ұлттық экономика министрінің 2015 жылғы 28 ақпандағы № 163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10658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"18. Жаңадан салынған сумен жабдықтау жүйелерін, сондай-ақ жөндеу жұмыстары жүргізілген сумен жабдықтау жүйелерін шаю және дезинфекциялау жүргізілгеннен кейін пайдалануға жол беріледі.</w:t>
      </w:r>
    </w:p>
    <w:bookmarkEnd w:id="0"/>
    <w:p>
      <w:pPr>
        <w:spacing w:after="0"/>
        <w:ind w:left="0"/>
        <w:jc w:val="both"/>
      </w:pPr>
      <w:r>
        <w:rPr>
          <w:rFonts w:ascii="Times New Roman"/>
          <w:b w:val="false"/>
          <w:i w:val="false"/>
          <w:color w:val="000000"/>
          <w:sz w:val="28"/>
        </w:rPr>
        <w:t>
      Көрсетілетін қызметті берушінің сумен жабдықтау жүйесінен құрылыс объектісінің сумен жабдықтау желісін ауызсумен жуу және дезинфекциялау кезінде пайдаланылған судың көлемі көрсетілетін қызметті берушінің келісімі бойынша құрылыс салушы белгілейтін ауызсуды есепке алу аспабының көрсеткіштері бойынша айқындалады. Есепке алу аспаптарының түрін, сондай-ақ техникалық және метрологиялық сипаттамаларын көрсетілетін қызметті берушімен келісу қажет.</w:t>
      </w:r>
    </w:p>
    <w:p>
      <w:pPr>
        <w:spacing w:after="0"/>
        <w:ind w:left="0"/>
        <w:jc w:val="both"/>
      </w:pPr>
      <w:r>
        <w:rPr>
          <w:rFonts w:ascii="Times New Roman"/>
          <w:b w:val="false"/>
          <w:i w:val="false"/>
          <w:color w:val="000000"/>
          <w:sz w:val="28"/>
        </w:rPr>
        <w:t>
      Ауызсуды есепке алу аспабы болмаған кезде пайдаланылған судың көлемі су құбырларының гидравликалық есебіне сәйкес жуылатын құбырды толық толтырған кезде және ондағы су қозғалысының жылдамдығы кемінде 1 м/сек болғанда айқындалады.</w:t>
      </w:r>
    </w:p>
    <w:p>
      <w:pPr>
        <w:spacing w:after="0"/>
        <w:ind w:left="0"/>
        <w:jc w:val="both"/>
      </w:pPr>
      <w:r>
        <w:rPr>
          <w:rFonts w:ascii="Times New Roman"/>
          <w:b w:val="false"/>
          <w:i w:val="false"/>
          <w:color w:val="000000"/>
          <w:sz w:val="28"/>
        </w:rPr>
        <w:t>
      Құбырлар мен сыйымдылық құрылыстарын дезинфекциялау, сумен жабдықтау және су бұру желілері мен құрылыстарын жуу Қазақстан Республикасы Құрылыс және тұрғын үй-коммуналдық шаруашылық істері агенттігі төрағасының 2011 жылғы 29 желтоқсандағы № 539 бұйрығымен бекітілген Ауызсу мен тазартылған сарқынды суларды зарарсыздандыру жөніндегі нұсқаулыққа сәйкес жүзеге асырылады.".</w:t>
      </w:r>
    </w:p>
    <w:bookmarkStart w:name="z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