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b362" w14:textId="a97b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жарнама туралы заңнамасының сақталуына тәуекел дәрежесін бағалау өлшемшарттары мен тексеру парағын бекіту туралы" Қазақстан Республикасы Ұлттық экономика министрінің 2019 жылғы 29 наурыздағы № 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10 мамырдағы № 61 бұйрығы. Қазақстан Республикасының Әділет министрлігінде 2023 жылғы 11 мамырда № 32462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жарнама туралы заңнамасының сақталуына тәуекел дәрежесін бағалау өлшемшарттары мен тексеру парағын бекіту туралы" Қазақстан Республикасы Ұлттық экономика министрінің 2019 жылғы 29 наурыздағы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18490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85-бабының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141-бабының </w:t>
      </w:r>
      <w:r>
        <w:rPr>
          <w:rFonts w:ascii="Times New Roman"/>
          <w:b w:val="false"/>
          <w:i w:val="false"/>
          <w:color w:val="000000"/>
          <w:sz w:val="28"/>
        </w:rPr>
        <w:t>4-тармағына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жарнама туралы заңнамасының сақталуына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Өлшемшарттарда мынадай ұғымдар пайдаланылады:</w:t>
      </w:r>
    </w:p>
    <w:bookmarkStart w:name="z5" w:id="3"/>
    <w:p>
      <w:pPr>
        <w:spacing w:after="0"/>
        <w:ind w:left="0"/>
        <w:jc w:val="both"/>
      </w:pPr>
      <w:r>
        <w:rPr>
          <w:rFonts w:ascii="Times New Roman"/>
          <w:b w:val="false"/>
          <w:i w:val="false"/>
          <w:color w:val="000000"/>
          <w:sz w:val="28"/>
        </w:rPr>
        <w:t>
      1) бақылау субъектілері (объектілері) – қызметіне Қазақстан Республикасының жарнама туралы заңнамасының сақталуына бақылау жүзеге асырылатын жеке және заңды тұлғалар; өлшемі;</w:t>
      </w:r>
    </w:p>
    <w:bookmarkEnd w:id="3"/>
    <w:bookmarkStart w:name="z6" w:id="4"/>
    <w:p>
      <w:pPr>
        <w:spacing w:after="0"/>
        <w:ind w:left="0"/>
        <w:jc w:val="both"/>
      </w:pPr>
      <w:r>
        <w:rPr>
          <w:rFonts w:ascii="Times New Roman"/>
          <w:b w:val="false"/>
          <w:i w:val="false"/>
          <w:color w:val="000000"/>
          <w:sz w:val="28"/>
        </w:rPr>
        <w:t>
      2) балл – тәуекелді есептеудің сандық</w:t>
      </w:r>
    </w:p>
    <w:bookmarkEnd w:id="4"/>
    <w:bookmarkStart w:name="z7" w:id="5"/>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жалпыға ортақ шәкілге келтіруді көздейтін статистикалық рәсім;</w:t>
      </w:r>
    </w:p>
    <w:bookmarkEnd w:id="5"/>
    <w:bookmarkStart w:name="z8" w:id="6"/>
    <w:p>
      <w:pPr>
        <w:spacing w:after="0"/>
        <w:ind w:left="0"/>
        <w:jc w:val="both"/>
      </w:pPr>
      <w:r>
        <w:rPr>
          <w:rFonts w:ascii="Times New Roman"/>
          <w:b w:val="false"/>
          <w:i w:val="false"/>
          <w:color w:val="000000"/>
          <w:sz w:val="28"/>
        </w:rPr>
        <w:t>
      4) елеулі бұзушылықтар – Қазақстан Республикасының заңнамасына сәйкес тіркелмеген діни бірлестіктер мен рухани (діни) білім беру ұйымдарының жарнамасына тыйым салудың сақталуына қатысты Қазақстан Республикасының жарнама туралы заңнамасының сақталуы бойынша нормативтік құқықтық актілерде белгіленген талаптардың бұзылуы;</w:t>
      </w:r>
    </w:p>
    <w:bookmarkEnd w:id="6"/>
    <w:bookmarkStart w:name="z9" w:id="7"/>
    <w:p>
      <w:pPr>
        <w:spacing w:after="0"/>
        <w:ind w:left="0"/>
        <w:jc w:val="both"/>
      </w:pPr>
      <w:r>
        <w:rPr>
          <w:rFonts w:ascii="Times New Roman"/>
          <w:b w:val="false"/>
          <w:i w:val="false"/>
          <w:color w:val="000000"/>
          <w:sz w:val="28"/>
        </w:rPr>
        <w:t>
      5) елеусіз бұзушылықтар – сыртқы (көрнекi) жарнама объектісін орналастыру мерзімі өткен соң оны бұзуға қатысты Қазақстан Республикасының жарнама туралы заңнамасының сақталуы бойынша нормативтік құқықтық актілерде белгіленген талаптардың бұзылуы;</w:t>
      </w:r>
    </w:p>
    <w:bookmarkEnd w:id="7"/>
    <w:bookmarkStart w:name="z10" w:id="8"/>
    <w:p>
      <w:pPr>
        <w:spacing w:after="0"/>
        <w:ind w:left="0"/>
        <w:jc w:val="both"/>
      </w:pPr>
      <w:r>
        <w:rPr>
          <w:rFonts w:ascii="Times New Roman"/>
          <w:b w:val="false"/>
          <w:i w:val="false"/>
          <w:color w:val="000000"/>
          <w:sz w:val="28"/>
        </w:rPr>
        <w:t xml:space="preserve">
      6) өрескел бұзушылықтар – қызметті немесе әрекеттерді жүзеге асыру басталғанға дейін хабарландырудың болмауына және Қазақстан Республикасының конституциялық құрылысын күштеп өзгертуге, тұтастығын бұзуға, мемлекет қауiпсiздiгiне нұқсан келтiруге, соғысқа, әлеуметтiк, нәсiлдiк, ұлттық, діни, тектік-топтық және рулық артықшылыққа, қатыгездiк пен зорлық-зомбылықтың дәріптелуіне, порнографияға насихаттауға немесе үгiттеуге, сондай-ақ Қазақстан Республикасының мемлекеттiк құпияларын және заңмен қорғалатын өзге де құпияларды құрайтын мәлiметтердi таратуға қатысты әкімшілік жауаптылыққа алып келетін Қазақстан Республикасының жарнама туралы заңнамасының сақталуы бойынша нормативтік құқықтық актілерде белгіленген талаптардың бұзылуы; </w:t>
      </w:r>
    </w:p>
    <w:bookmarkEnd w:id="8"/>
    <w:bookmarkStart w:name="z11" w:id="9"/>
    <w:p>
      <w:pPr>
        <w:spacing w:after="0"/>
        <w:ind w:left="0"/>
        <w:jc w:val="both"/>
      </w:pPr>
      <w:r>
        <w:rPr>
          <w:rFonts w:ascii="Times New Roman"/>
          <w:b w:val="false"/>
          <w:i w:val="false"/>
          <w:color w:val="000000"/>
          <w:sz w:val="28"/>
        </w:rPr>
        <w:t>
      7) тәуекел –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зиян келтіру салдарының ауырлық дәрежесі ескеріле отырып, оның ықтималдығы;</w:t>
      </w:r>
    </w:p>
    <w:bookmarkEnd w:id="9"/>
    <w:bookmarkStart w:name="z12" w:id="10"/>
    <w:p>
      <w:pPr>
        <w:spacing w:after="0"/>
        <w:ind w:left="0"/>
        <w:jc w:val="both"/>
      </w:pPr>
      <w:r>
        <w:rPr>
          <w:rFonts w:ascii="Times New Roman"/>
          <w:b w:val="false"/>
          <w:i w:val="false"/>
          <w:color w:val="000000"/>
          <w:sz w:val="28"/>
        </w:rPr>
        <w:t>
      8) тәуекелдерді бағалау және басқару жүйесі – кәсіпкерлік еркіндігін шектеудің ең төменгі ықтимал дәрежесін қамтамасыз ету мақсатында, бұл ретте тиісті қызмет салаларында тәуекелдің жол берілетін деңгейін қамтамасыз ете отырып, кейін талаптарға сәйкестігіне бақылау субъектісіне (объектісіне) бару арқылы профилактикалық бақылауды және (немесе) тексерулерді жүзеге асыру үшін бақылау субъектілерін (объектілерін) тәуекел дәрежелері бойынша бөлу жолымен қолайсыз факторлардың басталу ықтималдығын төмендетуге бағытталған, сондай-ақ нақты бақылау субъектісі (объектісі) үшін тәуекел деңгейін өзгертуге және (немесе) осындай бақылау субъектісіне (объектісіне) бару арқылы профилактикалық бақылаудан және (немесе) тексеруден босатуға бағытталған басқару шешімдерін қабылдау процесі;</w:t>
      </w:r>
    </w:p>
    <w:bookmarkEnd w:id="10"/>
    <w:bookmarkStart w:name="z13" w:id="11"/>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Қазақстан Республикасының жарнама туралы заңнамасының сақталуына тәуекел дәрежесіне қарай бақылау субъектілерін іріктеу үшін пайдаланылатын және тікелей жеке бақылау субъектісіне тәуелді емес тәуекел дәрежесін бағалау өлшемшарттары;</w:t>
      </w:r>
    </w:p>
    <w:bookmarkEnd w:id="11"/>
    <w:bookmarkStart w:name="z14" w:id="12"/>
    <w:p>
      <w:pPr>
        <w:spacing w:after="0"/>
        <w:ind w:left="0"/>
        <w:jc w:val="both"/>
      </w:pPr>
      <w:r>
        <w:rPr>
          <w:rFonts w:ascii="Times New Roman"/>
          <w:b w:val="false"/>
          <w:i w:val="false"/>
          <w:color w:val="000000"/>
          <w:sz w:val="28"/>
        </w:rPr>
        <w:t xml:space="preserve">
      10) тәуекел дәрежесін бағалау өлшемшарттары – бақылау субъектісінің тікелей қызметіне, салалық даму ерекшеліктері мен осы дамуға ықпал ететін факторларға байланысты, бақылау субъектілерін (объектілерін) әртүрлі тәуекелдер дәрежесіне жатқызуға мүмкіндік беретін сандық және сапалық көрсеткіштер жиынтығы; </w:t>
      </w:r>
    </w:p>
    <w:bookmarkEnd w:id="12"/>
    <w:bookmarkStart w:name="z15" w:id="13"/>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 қызметінің нәтижелеріне қарай бақылау субъектілерін іріктеу үшін пайдаланылатын тәуекел дәрежесін бағалау өлшемшарттары;</w:t>
      </w:r>
    </w:p>
    <w:bookmarkEnd w:id="13"/>
    <w:bookmarkStart w:name="z16" w:id="14"/>
    <w:p>
      <w:pPr>
        <w:spacing w:after="0"/>
        <w:ind w:left="0"/>
        <w:jc w:val="both"/>
      </w:pPr>
      <w:r>
        <w:rPr>
          <w:rFonts w:ascii="Times New Roman"/>
          <w:b w:val="false"/>
          <w:i w:val="false"/>
          <w:color w:val="000000"/>
          <w:sz w:val="28"/>
        </w:rPr>
        <w:t xml:space="preserve">
      12) тексеру парағы – бақылау субъектілерінің (объектілерінің) қызметіне қойылатын, сақталмауы адамның өмірі мен денсаулығына, қоршаған ортаға, жеке және заңды тұлғалардың, мемлекеттің заңды мүдделеріне қатер төндіруге алып келеді талаптар тізбесі; </w:t>
      </w:r>
    </w:p>
    <w:bookmarkEnd w:id="14"/>
    <w:bookmarkStart w:name="z17" w:id="15"/>
    <w:p>
      <w:pPr>
        <w:spacing w:after="0"/>
        <w:ind w:left="0"/>
        <w:jc w:val="both"/>
      </w:pPr>
      <w:r>
        <w:rPr>
          <w:rFonts w:ascii="Times New Roman"/>
          <w:b w:val="false"/>
          <w:i w:val="false"/>
          <w:color w:val="000000"/>
          <w:sz w:val="28"/>
        </w:rPr>
        <w:t xml:space="preserve">
      13) іріктемелі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саласындағы бақылау субъектілерінің (объектілерінің) біртекті тобына жататын бағаланатын субъектілердің (объектілердің) тізбесі.";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p>
      <w:pPr>
        <w:spacing w:after="0"/>
        <w:ind w:left="0"/>
        <w:jc w:val="both"/>
      </w:pPr>
      <w:r>
        <w:rPr>
          <w:rFonts w:ascii="Times New Roman"/>
          <w:b w:val="false"/>
          <w:i w:val="false"/>
          <w:color w:val="000000"/>
          <w:sz w:val="28"/>
        </w:rPr>
        <w:t xml:space="preserve">
      Бару арқылы профилактикалық бақылаудың тәуекел дәрежесін бағалау үшін мынадай ақпарат көздері: </w:t>
      </w:r>
    </w:p>
    <w:bookmarkStart w:name="z19" w:id="16"/>
    <w:p>
      <w:pPr>
        <w:spacing w:after="0"/>
        <w:ind w:left="0"/>
        <w:jc w:val="both"/>
      </w:pPr>
      <w:r>
        <w:rPr>
          <w:rFonts w:ascii="Times New Roman"/>
          <w:b w:val="false"/>
          <w:i w:val="false"/>
          <w:color w:val="000000"/>
          <w:sz w:val="28"/>
        </w:rPr>
        <w:t>
      1) алдыңғы бақылау субъектілеріне (объектілеріне) бару арқылы тексерулер мен профилактикалық бақылаудың нәтижелері;</w:t>
      </w:r>
    </w:p>
    <w:bookmarkEnd w:id="16"/>
    <w:bookmarkStart w:name="z20" w:id="17"/>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17"/>
    <w:bookmarkStart w:name="z21" w:id="18"/>
    <w:p>
      <w:pPr>
        <w:spacing w:after="0"/>
        <w:ind w:left="0"/>
        <w:jc w:val="both"/>
      </w:pPr>
      <w:r>
        <w:rPr>
          <w:rFonts w:ascii="Times New Roman"/>
          <w:b w:val="false"/>
          <w:i w:val="false"/>
          <w:color w:val="000000"/>
          <w:sz w:val="28"/>
        </w:rPr>
        <w:t>
      3) бақылау субъектілеріне (объектілеріне) бармай профилактикалық бақылау нәтижелері (Қазақстан Республикасының жарнама туралы заңнамасының сақталуын бақылау субъектісіне (объектісіне) бармай профилактикалық бақылаудың қорытындысы бойынша берілген қорытынды құжаттар (анықтама, қорытынды, ұсынымдар) пайдаланылады.</w:t>
      </w:r>
    </w:p>
    <w:bookmarkEnd w:id="18"/>
    <w:bookmarkStart w:name="z22" w:id="19"/>
    <w:p>
      <w:pPr>
        <w:spacing w:after="0"/>
        <w:ind w:left="0"/>
        <w:jc w:val="both"/>
      </w:pPr>
      <w:r>
        <w:rPr>
          <w:rFonts w:ascii="Times New Roman"/>
          <w:b w:val="false"/>
          <w:i w:val="false"/>
          <w:color w:val="000000"/>
          <w:sz w:val="28"/>
        </w:rPr>
        <w:t>
      Талаптарға сәйкестікке тексерулер жүргізу кезінде дәрежесін бағалау үшін мынадай ақпарат көздері:</w:t>
      </w:r>
    </w:p>
    <w:bookmarkEnd w:id="19"/>
    <w:bookmarkStart w:name="z23" w:id="20"/>
    <w:p>
      <w:pPr>
        <w:spacing w:after="0"/>
        <w:ind w:left="0"/>
        <w:jc w:val="both"/>
      </w:pPr>
      <w:r>
        <w:rPr>
          <w:rFonts w:ascii="Times New Roman"/>
          <w:b w:val="false"/>
          <w:i w:val="false"/>
          <w:color w:val="000000"/>
          <w:sz w:val="28"/>
        </w:rPr>
        <w:t>
      1) алдыңғы тексерулердің нәтижелері;</w:t>
      </w:r>
    </w:p>
    <w:bookmarkEnd w:id="20"/>
    <w:bookmarkStart w:name="z24" w:id="21"/>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21"/>
    <w:bookmarkStart w:name="z25" w:id="22"/>
    <w:p>
      <w:pPr>
        <w:spacing w:after="0"/>
        <w:ind w:left="0"/>
        <w:jc w:val="both"/>
      </w:pPr>
      <w:r>
        <w:rPr>
          <w:rFonts w:ascii="Times New Roman"/>
          <w:b w:val="false"/>
          <w:i w:val="false"/>
          <w:color w:val="000000"/>
          <w:sz w:val="28"/>
        </w:rPr>
        <w:t>
      3) бақылау субъектілеріне (объектілеріне) бармай профилактикалық бақылау нәтижелері (Қазақстан Республикасының жарнама туралы заңнамасының сақталуын бақылау субъектісіне (объектісіне) бармай профилактикалық бақылаудың қорытындысы бойынша берілген қорытынды құжаттар (ұсынымдар) пайдаланылады.</w:t>
      </w:r>
    </w:p>
    <w:bookmarkEnd w:id="22"/>
    <w:bookmarkStart w:name="z26" w:id="23"/>
    <w:p>
      <w:pPr>
        <w:spacing w:after="0"/>
        <w:ind w:left="0"/>
        <w:jc w:val="both"/>
      </w:pPr>
      <w:r>
        <w:rPr>
          <w:rFonts w:ascii="Times New Roman"/>
          <w:b w:val="false"/>
          <w:i w:val="false"/>
          <w:color w:val="000000"/>
          <w:sz w:val="28"/>
        </w:rPr>
        <w:t xml:space="preserve">
      12. Қолда бар ақпарат көздерінің негізінде реттеуші мемлекеттік органдар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бағалануы тиіс субъективті өлшемшарттарды қалыптастырады.";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Субъективті өлшемшарттар бойынша тәуекел дәрежесін есептеу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кейіннен деректер мәндерін 0-ден 100-ге дейінгі балл диапазонына қалыпқа келтірумен, алдыңғы бақылау субъектілеріне (объектілеріне) бару арқылы профилактикалық бақылау және тексерулер нәтижелері бойынша бұзушылықтар бойынша тәуекел дәрежесінің көрсеткішін (SP) және субъективті өлшемшарттар бойынша тәуекел дәрежесінің көрсеткішін (SC) жинақтау арқылы автоматтандырылған режимде жүзеге асырылады. </w:t>
      </w:r>
    </w:p>
    <w:p>
      <w:pPr>
        <w:spacing w:after="0"/>
        <w:ind w:left="0"/>
        <w:jc w:val="both"/>
      </w:pPr>
      <w:r>
        <w:rPr>
          <w:rFonts w:ascii="Times New Roman"/>
          <w:b w:val="false"/>
          <w:i w:val="false"/>
          <w:color w:val="000000"/>
          <w:sz w:val="28"/>
        </w:rPr>
        <w:t>
      Rарал. = SP + SC, мұндағы: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9-тармағына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xml:space="preserve">
      Есептеу мемлекеттік бақылаудың әрбір саласының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жататын бағаланатын бақылау субъектілерінің (объектілерінің) тізбесі кейіннен деректерді қалыпқа келтіру үшін іріктемелі жиынтық (іріктеме) құрайды." </w:t>
      </w:r>
    </w:p>
    <w:bookmarkStart w:name="z29" w:id="24"/>
    <w:p>
      <w:pPr>
        <w:spacing w:after="0"/>
        <w:ind w:left="0"/>
        <w:jc w:val="both"/>
      </w:pPr>
      <w:r>
        <w:rPr>
          <w:rFonts w:ascii="Times New Roman"/>
          <w:b w:val="false"/>
          <w:i w:val="false"/>
          <w:color w:val="000000"/>
          <w:sz w:val="28"/>
        </w:rPr>
        <w:t>
      мынадай мазмұндағы 14-1, 14-2 және 14-3-тармақтармен толықтырылсын:</w:t>
      </w:r>
    </w:p>
    <w:bookmarkEnd w:id="24"/>
    <w:p>
      <w:pPr>
        <w:spacing w:after="0"/>
        <w:ind w:left="0"/>
        <w:jc w:val="both"/>
      </w:pPr>
      <w:r>
        <w:rPr>
          <w:rFonts w:ascii="Times New Roman"/>
          <w:b w:val="false"/>
          <w:i w:val="false"/>
          <w:color w:val="000000"/>
          <w:sz w:val="28"/>
        </w:rPr>
        <w:t xml:space="preserve">
      "14-1. Алдыңғы бақылау субъектілеріне (объектілеріне) бару арқылы профилактикалық бақылау және тексерулер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 </w:t>
      </w:r>
    </w:p>
    <w:p>
      <w:pPr>
        <w:spacing w:after="0"/>
        <w:ind w:left="0"/>
        <w:jc w:val="both"/>
      </w:pPr>
      <w:r>
        <w:rPr>
          <w:rFonts w:ascii="Times New Roman"/>
          <w:b w:val="false"/>
          <w:i w:val="false"/>
          <w:color w:val="000000"/>
          <w:sz w:val="28"/>
        </w:rPr>
        <w:t>
      Осы Өлшемшарттардың 11-тармағында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балға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айқындаған кезде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xml:space="preserve">
      SРз – елеулі бұзушылықтар көрсеткіші; </w:t>
      </w:r>
    </w:p>
    <w:p>
      <w:pPr>
        <w:spacing w:after="0"/>
        <w:ind w:left="0"/>
        <w:jc w:val="both"/>
      </w:pPr>
      <w:r>
        <w:rPr>
          <w:rFonts w:ascii="Times New Roman"/>
          <w:b w:val="false"/>
          <w:i w:val="false"/>
          <w:color w:val="000000"/>
          <w:sz w:val="28"/>
        </w:rPr>
        <w:t xml:space="preserve">
      ЅР1 – елеулі бұзушылықтардың қажетті саны; </w:t>
      </w:r>
    </w:p>
    <w:p>
      <w:pPr>
        <w:spacing w:after="0"/>
        <w:ind w:left="0"/>
        <w:jc w:val="both"/>
      </w:pPr>
      <w:r>
        <w:rPr>
          <w:rFonts w:ascii="Times New Roman"/>
          <w:b w:val="false"/>
          <w:i w:val="false"/>
          <w:color w:val="000000"/>
          <w:sz w:val="28"/>
        </w:rPr>
        <w:t>
      ЅР2 – анықталған елеулі бұзушылықтар саны;</w:t>
      </w:r>
    </w:p>
    <w:p>
      <w:pPr>
        <w:spacing w:after="0"/>
        <w:ind w:left="0"/>
        <w:jc w:val="both"/>
      </w:pPr>
      <w:r>
        <w:rPr>
          <w:rFonts w:ascii="Times New Roman"/>
          <w:b w:val="false"/>
          <w:i w:val="false"/>
          <w:color w:val="000000"/>
          <w:sz w:val="28"/>
        </w:rPr>
        <w:t>
      Елеусіз бұзушылықтар көрсеткішін айқындаған кезде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ЅРн = (ЅР2 х 100 / ЅР1) х 0,3, мұндағы:</w:t>
      </w:r>
    </w:p>
    <w:p>
      <w:pPr>
        <w:spacing w:after="0"/>
        <w:ind w:left="0"/>
        <w:jc w:val="both"/>
      </w:pPr>
      <w:r>
        <w:rPr>
          <w:rFonts w:ascii="Times New Roman"/>
          <w:b w:val="false"/>
          <w:i w:val="false"/>
          <w:color w:val="000000"/>
          <w:sz w:val="28"/>
        </w:rPr>
        <w:t>
      ЅРн – елеусіз бұзушылықтар көрсеткіші;</w:t>
      </w:r>
    </w:p>
    <w:p>
      <w:pPr>
        <w:spacing w:after="0"/>
        <w:ind w:left="0"/>
        <w:jc w:val="both"/>
      </w:pPr>
      <w:r>
        <w:rPr>
          <w:rFonts w:ascii="Times New Roman"/>
          <w:b w:val="false"/>
          <w:i w:val="false"/>
          <w:color w:val="000000"/>
          <w:sz w:val="28"/>
        </w:rPr>
        <w:t>
      ЅР1– елеусіз бұзушылықтардың қажетті саны;</w:t>
      </w:r>
    </w:p>
    <w:p>
      <w:pPr>
        <w:spacing w:after="0"/>
        <w:ind w:left="0"/>
        <w:jc w:val="both"/>
      </w:pPr>
      <w:r>
        <w:rPr>
          <w:rFonts w:ascii="Times New Roman"/>
          <w:b w:val="false"/>
          <w:i w:val="false"/>
          <w:color w:val="000000"/>
          <w:sz w:val="28"/>
        </w:rPr>
        <w:t xml:space="preserve">
      ЅР2 – анықталған елеусіз бұзушылықтар саны; </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шәкіл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ЅР = ЅРз + ЅРн, мұндағы:</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ЅРз – елеулі бұзушылықтар көрсеткіші;</w:t>
      </w:r>
    </w:p>
    <w:p>
      <w:pPr>
        <w:spacing w:after="0"/>
        <w:ind w:left="0"/>
        <w:jc w:val="both"/>
      </w:pPr>
      <w:r>
        <w:rPr>
          <w:rFonts w:ascii="Times New Roman"/>
          <w:b w:val="false"/>
          <w:i w:val="false"/>
          <w:color w:val="000000"/>
          <w:sz w:val="28"/>
        </w:rPr>
        <w:t>
      ЅРн – елеусіз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0" w:id="25"/>
    <w:p>
      <w:pPr>
        <w:spacing w:after="0"/>
        <w:ind w:left="0"/>
        <w:jc w:val="both"/>
      </w:pPr>
      <w:r>
        <w:rPr>
          <w:rFonts w:ascii="Times New Roman"/>
          <w:b w:val="false"/>
          <w:i w:val="false"/>
          <w:color w:val="000000"/>
          <w:sz w:val="28"/>
        </w:rPr>
        <w:t>
      14-2. Осы Өлшемшарттардың 11-тармағына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10-тармағына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1" w:id="26"/>
    <w:p>
      <w:pPr>
        <w:spacing w:after="0"/>
        <w:ind w:left="0"/>
        <w:jc w:val="both"/>
      </w:pPr>
      <w:r>
        <w:rPr>
          <w:rFonts w:ascii="Times New Roman"/>
          <w:b w:val="false"/>
          <w:i w:val="false"/>
          <w:color w:val="000000"/>
          <w:sz w:val="28"/>
        </w:rPr>
        <w:t>
      14-3.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 пайдаланыла отырып жүзеге асырылады: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76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бақылаудың жекелеген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xml:space="preserve">
      Rmax – бір іріктемелі жиынтыққа (іріктемеге) кіретін субъектілер (объектілер) бойынша субъективті өлшемшарттар бойынша тәуекел дәрежесі шәкілі бойынша мүмкін болатын ең жоғары ықтимал мән (шәкілдің жоғарғы шекарасы), </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14-тармағына сәйкес есептелген субъективті өлшемшарттар бойынша тәуекел дәрежесінің аралық көрсеткіші."</w:t>
      </w:r>
    </w:p>
    <w:bookmarkStart w:name="z32" w:id="27"/>
    <w:p>
      <w:pPr>
        <w:spacing w:after="0"/>
        <w:ind w:left="0"/>
        <w:jc w:val="both"/>
      </w:pPr>
      <w:r>
        <w:rPr>
          <w:rFonts w:ascii="Times New Roman"/>
          <w:b w:val="false"/>
          <w:i w:val="false"/>
          <w:color w:val="000000"/>
          <w:sz w:val="28"/>
        </w:rPr>
        <w:t xml:space="preserve">
      қосымшаның жоғарғы оң жақ бұрышындағы мәтін мынадай редакцияда жазылсын: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жарнама және жарнама</w:t>
            </w:r>
            <w:r>
              <w:br/>
            </w:r>
            <w:r>
              <w:rPr>
                <w:rFonts w:ascii="Times New Roman"/>
                <w:b w:val="false"/>
                <w:i w:val="false"/>
                <w:color w:val="000000"/>
                <w:sz w:val="20"/>
              </w:rPr>
              <w:t>қызметі 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33"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28"/>
    <w:bookmarkStart w:name="z34" w:id="29"/>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 </w:t>
      </w:r>
    </w:p>
    <w:bookmarkEnd w:id="29"/>
    <w:bookmarkStart w:name="z35" w:id="30"/>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0"/>
    <w:bookmarkStart w:name="z36"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10 мамырдағы</w:t>
            </w:r>
            <w:r>
              <w:br/>
            </w:r>
            <w:r>
              <w:rPr>
                <w:rFonts w:ascii="Times New Roman"/>
                <w:b w:val="false"/>
                <w:i w:val="false"/>
                <w:color w:val="000000"/>
                <w:sz w:val="20"/>
              </w:rPr>
              <w:t>№ 61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жарнама 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Жарнама берушіге, жарнама таратушыға, жарнама өндірушіге қатысты Қазақстан Республикасының Кәсіпкерлік кодексінің 138-бабына сәйкес Қазақстан Республикасының жарнама туралы заңнамасының сақталуына субъективті өлшемшарттар бойынша тәуекел дәрежесін айқындауға арналған субъективті өлшемшарттар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 туралы хабарламаның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бару арқылы профилактикалық тексерулер мен бақылау нәтижелері, расталған шағымдар мен өтініштердің болуы және саны; профилактикалық бақылау нәтижелері,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субъектілеріне (объектілеріне) бармай профилактикалық бақылау шеңберінде берілген ұсынымдарды орындау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бару арқылы профилактикалық тексерулер мен бақылау нәтижелері, расталған шағымдар мен өтініштердің болуы және саны; профилактикалық бақылау нәтижелері,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 туралы хабарламаның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бару арқылы профилактикалық тексерулер мен бақылау нәтижелері, расталған шағымдар мен өтініштердің болуы және саны; профилактикалық бақылау нәтижелері,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ұсынымдарды орындау бойынша ақпарат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бару арқылы профилактикалық тексерулер мен бақылау нәтижелері, расталған шағымдар мен өтініштердің болуы және саны; профилактикалық бақылау нәтижелері,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