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7de9" w14:textId="d347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есепті жүргізу қағидаларын бекіту туралы" Қазақстан Республикасы Қаржы министрінің 2015 жылғы 31 наурыздағы № 241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м.а. 2023 жылғы 15 мамырдағы № 507 бұйрығы. Қазақстан Республикасының Әділет министрлігінде 2023 жылғы 17 мамырда № 32501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"Бухгалтерлік есепті жүргізу қағидаларын бекіту туралы" Қазақстан Республикасы Қаржы министрінің 2015 жылғы 31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Бухгалтерлік есепті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"34. Активтерді беруді, сатуды ресімдеу үшін нысандары </w:t>
      </w:r>
      <w:r>
        <w:rPr>
          <w:rFonts w:ascii="Times New Roman"/>
          <w:b w:val="false"/>
          <w:i w:val="false"/>
          <w:color w:val="000000"/>
          <w:sz w:val="28"/>
        </w:rPr>
        <w:t>562-бұйрықпен</w:t>
      </w:r>
      <w:r>
        <w:rPr>
          <w:rFonts w:ascii="Times New Roman"/>
          <w:b w:val="false"/>
          <w:i w:val="false"/>
          <w:color w:val="000000"/>
          <w:sz w:val="28"/>
        </w:rPr>
        <w:t xml:space="preserve"> бекітілген қабылдап алу-беру актілері қолданылады. Акті екі данада жасалады және әрбір жеке объектіге немесе объектінің құрауышына екі тараптың да қолы қойылады.</w:t>
      </w:r>
    </w:p>
    <w:bookmarkStart w:name="z4" w:id="0"/>
    <w:p>
      <w:pPr>
        <w:spacing w:after="0"/>
        <w:ind w:left="0"/>
        <w:jc w:val="both"/>
      </w:pPr>
      <w:r>
        <w:rPr>
          <w:rFonts w:ascii="Times New Roman"/>
          <w:b w:val="false"/>
          <w:i w:val="false"/>
          <w:color w:val="000000"/>
          <w:sz w:val="28"/>
        </w:rPr>
        <w:t>
      Құжаттамасы қоса берілген ресімделген акті бухгалтерлік қызметке беріледі, оған бас бухгалтер қол қояды және субъектінің басшысы бекітеді.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Активтерді қорлар ретінде сату кезінде нысаны </w:t>
      </w:r>
      <w:r>
        <w:rPr>
          <w:rFonts w:ascii="Times New Roman"/>
          <w:b w:val="false"/>
          <w:i w:val="false"/>
          <w:color w:val="000000"/>
          <w:sz w:val="28"/>
        </w:rPr>
        <w:t>562 бұйрықпен</w:t>
      </w:r>
      <w:r>
        <w:rPr>
          <w:rFonts w:ascii="Times New Roman"/>
          <w:b w:val="false"/>
          <w:i w:val="false"/>
          <w:color w:val="000000"/>
          <w:sz w:val="28"/>
        </w:rPr>
        <w:t xml:space="preserve"> бекітілген тарапқа қорларды босатуға арналған жүкқұжат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 Субъектінің кассасына қолма-қол ақшаны қабылдап алу нысаны </w:t>
      </w:r>
      <w:r>
        <w:rPr>
          <w:rFonts w:ascii="Times New Roman"/>
          <w:b w:val="false"/>
          <w:i w:val="false"/>
          <w:color w:val="000000"/>
          <w:sz w:val="28"/>
        </w:rPr>
        <w:t>562-бұйрықпен</w:t>
      </w:r>
      <w:r>
        <w:rPr>
          <w:rFonts w:ascii="Times New Roman"/>
          <w:b w:val="false"/>
          <w:i w:val="false"/>
          <w:color w:val="000000"/>
          <w:sz w:val="28"/>
        </w:rPr>
        <w:t xml:space="preserve"> бекітілген, субъектінің бас бухгалтері немесе осыған уәкілеттік берілген адамы қол қойған кіріс касса ордері (бұдан әрі - кіріс ордері) бойынша жүргізіледі.</w:t>
      </w:r>
    </w:p>
    <w:bookmarkStart w:name="z7" w:id="1"/>
    <w:p>
      <w:pPr>
        <w:spacing w:after="0"/>
        <w:ind w:left="0"/>
        <w:jc w:val="both"/>
      </w:pPr>
      <w:r>
        <w:rPr>
          <w:rFonts w:ascii="Times New Roman"/>
          <w:b w:val="false"/>
          <w:i w:val="false"/>
          <w:color w:val="000000"/>
          <w:sz w:val="28"/>
        </w:rPr>
        <w:t>
      Қолма-қол ақшаны қабылдау кезінде субъектінің бас бухгалтері немесе осыған уәкілеттік берілген адамы және кассир қол қойған түбіртек беріледі осы ұйымның мөрі мөрімен бекемделеді (ол бар болса).</w:t>
      </w:r>
    </w:p>
    <w:bookmarkEnd w:id="1"/>
    <w:bookmarkStart w:name="z8" w:id="2"/>
    <w:p>
      <w:pPr>
        <w:spacing w:after="0"/>
        <w:ind w:left="0"/>
        <w:jc w:val="both"/>
      </w:pPr>
      <w:r>
        <w:rPr>
          <w:rFonts w:ascii="Times New Roman"/>
          <w:b w:val="false"/>
          <w:i w:val="false"/>
          <w:color w:val="000000"/>
          <w:sz w:val="28"/>
        </w:rPr>
        <w:t>
      Бақылау-касса машинасын пайдаланған кезде түбіртектің орнына бақылау-касса машинасының чегі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Есеп беретін сомалар субъектінің қызметкерлеріне, сондай-ақ жіберуші Тараптың қызметкерлеріне беріледі.</w:t>
      </w:r>
    </w:p>
    <w:bookmarkStart w:name="z10" w:id="3"/>
    <w:p>
      <w:pPr>
        <w:spacing w:after="0"/>
        <w:ind w:left="0"/>
        <w:jc w:val="both"/>
      </w:pPr>
      <w:r>
        <w:rPr>
          <w:rFonts w:ascii="Times New Roman"/>
          <w:b w:val="false"/>
          <w:i w:val="false"/>
          <w:color w:val="000000"/>
          <w:sz w:val="28"/>
        </w:rPr>
        <w:t>
      Есеп беретін сомаларды есепке алу жіберуші Тараптың әрбір жұмыскері, жұмыскері бөлінісінде жүргізіледі. Есепке берілген қолма-қол ақша қаражатын есепке алу субъектінің есеп саясатымен регламенттеледі, бұл ретте тағайындалуына қарай есепті тұлғаның аванстық есебін ұсыну, қолма-қол ақша қаражатын қайтару мерзімдері белгіленеді.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Нысаны </w:t>
      </w:r>
      <w:r>
        <w:rPr>
          <w:rFonts w:ascii="Times New Roman"/>
          <w:b w:val="false"/>
          <w:i w:val="false"/>
          <w:color w:val="000000"/>
          <w:sz w:val="28"/>
        </w:rPr>
        <w:t>562 бұйрықпен</w:t>
      </w:r>
      <w:r>
        <w:rPr>
          <w:rFonts w:ascii="Times New Roman"/>
          <w:b w:val="false"/>
          <w:i w:val="false"/>
          <w:color w:val="000000"/>
          <w:sz w:val="28"/>
        </w:rPr>
        <w:t xml:space="preserve"> бекітілген аванстық есепке субъектінің басшылығы қол қояды және бухгалтерлік қызметке тапсырылады. Субъектінің басшылығы және бухгалтерлік қызмет аванстық есепті және есепте қалған қолма қол ақшаны уақтылы тапсыруды қамтамасыз етеді.";</w:t>
      </w:r>
    </w:p>
    <w:bookmarkStart w:name="z12" w:id="4"/>
    <w:p>
      <w:pPr>
        <w:spacing w:after="0"/>
        <w:ind w:left="0"/>
        <w:jc w:val="both"/>
      </w:pPr>
      <w:r>
        <w:rPr>
          <w:rFonts w:ascii="Times New Roman"/>
          <w:b w:val="false"/>
          <w:i w:val="false"/>
          <w:color w:val="000000"/>
          <w:sz w:val="28"/>
        </w:rPr>
        <w:t>
      мынадай мазмұндағы 71-1-тармақпен толықтырылсын:</w:t>
      </w:r>
    </w:p>
    <w:bookmarkEnd w:id="4"/>
    <w:p>
      <w:pPr>
        <w:spacing w:after="0"/>
        <w:ind w:left="0"/>
        <w:jc w:val="both"/>
      </w:pPr>
      <w:r>
        <w:rPr>
          <w:rFonts w:ascii="Times New Roman"/>
          <w:b w:val="false"/>
          <w:i w:val="false"/>
          <w:color w:val="000000"/>
          <w:sz w:val="28"/>
        </w:rPr>
        <w:t>
      "71-1. Қайта сұрыптау нәтижесінде артық шығуды және кем шығуды өзара есепке алуға сол атаудағы және бірдей мөлшердегі қорларға қатысты бір тексерілетін адамда ғана тек бір ғана тексерілетін кезең үшін ерекшелік түрінде ғана рұқсат етіледі.</w:t>
      </w:r>
    </w:p>
    <w:p>
      <w:pPr>
        <w:spacing w:after="0"/>
        <w:ind w:left="0"/>
        <w:jc w:val="both"/>
      </w:pPr>
      <w:r>
        <w:rPr>
          <w:rFonts w:ascii="Times New Roman"/>
          <w:b w:val="false"/>
          <w:i w:val="false"/>
          <w:color w:val="000000"/>
          <w:sz w:val="28"/>
        </w:rPr>
        <w:t>
      Қайта сұрыптауға жол берілгені туралы материалдық жауапты адамдар комиссияға егжей-тегжейлі түсініктемелер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75-1-тармақ</w:t>
      </w:r>
      <w:r>
        <w:rPr>
          <w:rFonts w:ascii="Times New Roman"/>
          <w:b w:val="false"/>
          <w:i w:val="false"/>
          <w:color w:val="000000"/>
          <w:sz w:val="28"/>
        </w:rPr>
        <w:t xml:space="preserve"> алынып тасталсын.</w:t>
      </w:r>
    </w:p>
    <w:bookmarkStart w:name="z14"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15"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6"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орналастыруын;</w:t>
      </w:r>
    </w:p>
    <w:bookmarkEnd w:id="7"/>
    <w:bookmarkStart w:name="z17"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