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d44c" w14:textId="036d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16 мамырдағы № 362 бұйрығы. Қазақстан Республикасының Әділет министрлігінде 2023 жылғы 17 мамырда № 32507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 енгізетін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2023 жылғы 16 мамырдағы </w:t>
            </w:r>
            <w:r>
              <w:br/>
            </w:r>
            <w:r>
              <w:rPr>
                <w:rFonts w:ascii="Times New Roman"/>
                <w:b w:val="false"/>
                <w:i w:val="false"/>
                <w:color w:val="000000"/>
                <w:sz w:val="20"/>
              </w:rPr>
              <w:t xml:space="preserve">№ 362 Бұйрықпен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"Темір жол өтпелерін пайдалану қағидаларын бекіту туралы" Қазақстан Республикасы Көлік және коммуникация министрінің 2011 жылғы 25 наурыздағы № 168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6899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өтпелерін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Технологиялық өткелдер кезінде жылжымалы құрам мен көлік құралдары қозғалысының қауіпсіздігін осы технологиялық өтпелерді пайдаланатын кәсіпорын және/немесе ұйым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"Теміржолдарды техникалық пайдалану, қызмет көрсету және жөндеу қағидаларын бекіту туралы" Қазақстан Республикасы Көлік және коммуникация министрінің міндетін атқарушының 2011 жылғы 12 мамырдағы № 275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Теміржолдарды техникалық пайдалану, қызмет көрсету және жөндеу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"11. Жаңа объектілер пайдалануға берілгеннен және/немесе олар жабылғаннан кейін тармақ иеленуші техникалық паспортқа тиісті өзгерістер енгізеді және заңды түрде расталған техникалық паспорттың көшірме данасын техникалық паспортқа енгізілген барлық өзгерістер туралы хабарлай отырып, оған Ұлттық инфрақұрылым операторына береді. Ұлттық жүк тасымалдаушысы түйісу станциясының техникалық-өкімдік актісіне өзгерістер енгізеді және оған қосымшаны-кірме жолдар ведомосін жасайды.</w:t>
      </w:r>
    </w:p>
    <w:bookmarkEnd w:id="8"/>
    <w:bookmarkStart w:name="z20" w:id="9"/>
    <w:p>
      <w:pPr>
        <w:spacing w:after="0"/>
        <w:ind w:left="0"/>
        <w:jc w:val="both"/>
      </w:pPr>
      <w:r>
        <w:rPr>
          <w:rFonts w:ascii="Times New Roman"/>
          <w:b w:val="false"/>
          <w:i w:val="false"/>
          <w:color w:val="000000"/>
          <w:sz w:val="28"/>
        </w:rPr>
        <w:t>
      12. Кірме жолдар тікелей немесе басқа кірме жолдар арқылы магистральдық және станциялық жолдарға түйіседі. Кірме жолдың шекарасы "Кірме жолдың шекарасы" белгісімен белгіленеді.</w:t>
      </w:r>
    </w:p>
    <w:bookmarkEnd w:id="9"/>
    <w:p>
      <w:pPr>
        <w:spacing w:after="0"/>
        <w:ind w:left="0"/>
        <w:jc w:val="both"/>
      </w:pPr>
      <w:r>
        <w:rPr>
          <w:rFonts w:ascii="Times New Roman"/>
          <w:b w:val="false"/>
          <w:i w:val="false"/>
          <w:color w:val="000000"/>
          <w:sz w:val="28"/>
        </w:rPr>
        <w:t>
      Мұндай белгіні орнату орнын Ұлттық инфрақұрылым операторы жер учаскесіне (кірме жолға) жеке меншік құқығына арналған актінің негізінде айқындайды.</w:t>
      </w:r>
    </w:p>
    <w:p>
      <w:pPr>
        <w:spacing w:after="0"/>
        <w:ind w:left="0"/>
        <w:jc w:val="both"/>
      </w:pPr>
      <w:r>
        <w:rPr>
          <w:rFonts w:ascii="Times New Roman"/>
          <w:b w:val="false"/>
          <w:i w:val="false"/>
          <w:color w:val="000000"/>
          <w:sz w:val="28"/>
        </w:rPr>
        <w:t>
      Кірме жол басқа кірме жолға түйіскен жағдайда, "Кірме жолдың шекарасы" белгісі тармақ иеленушінің келісімі бойынша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"Магистральдық теміржол желiсiн пайдалану қағидаларын бекiту туралы" Қазақстан Республикасы Инвестициялар және даму министрінің міндетін атқарушының 2015 жылғы 27 наурыздағы № 366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11257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Магистральдық теміржол желiсiн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"7. Магистральдық теміржол желісі қызметтеріне қолжетімділік осы Қағидалармен белгіленген тәртіпте және "Табиғи монополиялар туралы" Қазақстан Республикасы Заңының 26-бабы 2-тармағының 5) тармақшасына сәйкес мыналарды негізге ала отырып ұсынылады:</w:t>
      </w:r>
    </w:p>
    <w:bookmarkEnd w:id="10"/>
    <w:p>
      <w:pPr>
        <w:spacing w:after="0"/>
        <w:ind w:left="0"/>
        <w:jc w:val="both"/>
      </w:pPr>
      <w:r>
        <w:rPr>
          <w:rFonts w:ascii="Times New Roman"/>
          <w:b w:val="false"/>
          <w:i w:val="false"/>
          <w:color w:val="000000"/>
          <w:sz w:val="28"/>
        </w:rPr>
        <w:t>
      1) онда поездар қозғалысын ұйымдастыру үшін магистральдық теміржол желісінің техникалық және технологиялық мүмкіндіктеріне;</w:t>
      </w:r>
    </w:p>
    <w:p>
      <w:pPr>
        <w:spacing w:after="0"/>
        <w:ind w:left="0"/>
        <w:jc w:val="both"/>
      </w:pPr>
      <w:r>
        <w:rPr>
          <w:rFonts w:ascii="Times New Roman"/>
          <w:b w:val="false"/>
          <w:i w:val="false"/>
          <w:color w:val="000000"/>
          <w:sz w:val="28"/>
        </w:rPr>
        <w:t>
      2) магистральдық теміржол желісінің өткізу қабілетінің болуын және оны пайдалану бойынша тасымалдаушылар ұсыныстарын және магистральдық теміржол желісі қызметтеріне қол жеткізу қағидаттары негізінде ұлттық инфрақұрылым операторының магистральдық теміржол желісінің өткізу қабілетін бөлуіне;</w:t>
      </w:r>
    </w:p>
    <w:p>
      <w:pPr>
        <w:spacing w:after="0"/>
        <w:ind w:left="0"/>
        <w:jc w:val="both"/>
      </w:pPr>
      <w:r>
        <w:rPr>
          <w:rFonts w:ascii="Times New Roman"/>
          <w:b w:val="false"/>
          <w:i w:val="false"/>
          <w:color w:val="000000"/>
          <w:sz w:val="28"/>
        </w:rPr>
        <w:t>
      3) жүк поездарын қалыптастыру жоспарын және поездар қозғалысы кестесіне;</w:t>
      </w:r>
    </w:p>
    <w:p>
      <w:pPr>
        <w:spacing w:after="0"/>
        <w:ind w:left="0"/>
        <w:jc w:val="both"/>
      </w:pPr>
      <w:r>
        <w:rPr>
          <w:rFonts w:ascii="Times New Roman"/>
          <w:b w:val="false"/>
          <w:i w:val="false"/>
          <w:color w:val="000000"/>
          <w:sz w:val="28"/>
        </w:rPr>
        <w:t>
      4) магистральдық теміржол желісінің шектеулі өткізу қабілеті жағдайында, нормативтік кестеге сәйкес тасымалдаушыларға магистральдық теміржол желісі қызметтеріне қолжетімділікті беру кезектілігінің сақталуына;</w:t>
      </w:r>
    </w:p>
    <w:p>
      <w:pPr>
        <w:spacing w:after="0"/>
        <w:ind w:left="0"/>
        <w:jc w:val="both"/>
      </w:pPr>
      <w:r>
        <w:rPr>
          <w:rFonts w:ascii="Times New Roman"/>
          <w:b w:val="false"/>
          <w:i w:val="false"/>
          <w:color w:val="000000"/>
          <w:sz w:val="28"/>
        </w:rPr>
        <w:t>
      5) Заңнамаға сәйкес теміржол тасымалдарын жүзеге асыруға кедергі болатын тыйым салулар мен шектеулердің болмауы.".</w:t>
      </w:r>
    </w:p>
    <w:p>
      <w:pPr>
        <w:spacing w:after="0"/>
        <w:ind w:left="0"/>
        <w:jc w:val="both"/>
      </w:pPr>
      <w:r>
        <w:rPr>
          <w:rFonts w:ascii="Times New Roman"/>
          <w:b w:val="false"/>
          <w:i w:val="false"/>
          <w:color w:val="000000"/>
          <w:sz w:val="28"/>
        </w:rPr>
        <w:t xml:space="preserve">
      4. "Теміржол көлігімен жүктерді тасымалдау қағидалары бекіту туралы"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19188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8-1) тармақшасы мынадай мазмұндағы тармақшамен толықтырылсын:</w:t>
      </w:r>
    </w:p>
    <w:bookmarkStart w:name="z28" w:id="11"/>
    <w:p>
      <w:pPr>
        <w:spacing w:after="0"/>
        <w:ind w:left="0"/>
        <w:jc w:val="both"/>
      </w:pPr>
      <w:r>
        <w:rPr>
          <w:rFonts w:ascii="Times New Roman"/>
          <w:b w:val="false"/>
          <w:i w:val="false"/>
          <w:color w:val="000000"/>
          <w:sz w:val="28"/>
        </w:rPr>
        <w:t>
      "8-1) қосарланған жүк операциясы - жүк алушының өзі түсірген вагонды, жүкті тиеу үшін контейнерді пайдалануы.".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"Магистральдық теміржол желісінің жұмыс істеуі үшін технологиялық қажетті магистральдық, станциялық жолдардың және өзге де объектілердің тізбесінен магистральдық, станциялық жолдарды және магистральдық теміржол желісінің өзге де объектілерін енгізу және алып тастау қағидалары" Қазақстан Республикасы Индустрия және инфрақұрылымдық даму министрінің 2020 жылғы 28 мамырдағы № 319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20796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Магистральдық теміржол желісінің жұмыс істеуі үшін технологиялық қажетті магистральдық, станциялық жолдардың және өзге де объектілердің тізбесінен магистральдық, станциялық жолдарды және магистральдық теміржол желісінің өзге де объектілерін енгізу және алып тастау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 w:id="12"/>
    <w:p>
      <w:pPr>
        <w:spacing w:after="0"/>
        <w:ind w:left="0"/>
        <w:jc w:val="both"/>
      </w:pPr>
      <w:r>
        <w:rPr>
          <w:rFonts w:ascii="Times New Roman"/>
          <w:b w:val="false"/>
          <w:i w:val="false"/>
          <w:color w:val="000000"/>
          <w:sz w:val="28"/>
        </w:rPr>
        <w:t>
      "3. Магистральдық, станциялық жолдарды және магистральдық теміржол желісінің өзге де объектілерін Ұлттық инфрақұрылым операторының мүліктік кешеніне кіретін магистральдық теміржол желісінің жұмыс істеуі үшін технологиялық қажетті магистральдық, станциялық жолдар мен өзге де объектілер тізбесінен енгізу және алып тастау үшін Ұлттық теміржол компаниясы осы Қағидаларға қосымшаға сәйкес нысан бойынша тиісті ұсынысты қоса бере отырып, жазбаша нысанда уәкілетті органға жүгінеді.</w:t>
      </w:r>
    </w:p>
    <w:bookmarkEnd w:id="12"/>
    <w:p>
      <w:pPr>
        <w:spacing w:after="0"/>
        <w:ind w:left="0"/>
        <w:jc w:val="both"/>
      </w:pPr>
      <w:r>
        <w:rPr>
          <w:rFonts w:ascii="Times New Roman"/>
          <w:b w:val="false"/>
          <w:i w:val="false"/>
          <w:color w:val="000000"/>
          <w:sz w:val="28"/>
        </w:rPr>
        <w:t>
      Ұсыныс мүліктің функционалдық мақсатын ескере отырып, мынадай шарттарға сүйене отырып дайындалады:</w:t>
      </w:r>
    </w:p>
    <w:p>
      <w:pPr>
        <w:spacing w:after="0"/>
        <w:ind w:left="0"/>
        <w:jc w:val="both"/>
      </w:pPr>
      <w:r>
        <w:rPr>
          <w:rFonts w:ascii="Times New Roman"/>
          <w:b w:val="false"/>
          <w:i w:val="false"/>
          <w:color w:val="000000"/>
          <w:sz w:val="28"/>
        </w:rPr>
        <w:t>
      1) тасымалдау процесінің, поездар қозғалысының және станцияларда маневрлік жұмыстарды жүргізудің қауіпсіздігін қамтамасыз ету қажеттілігі;</w:t>
      </w:r>
    </w:p>
    <w:p>
      <w:pPr>
        <w:spacing w:after="0"/>
        <w:ind w:left="0"/>
        <w:jc w:val="both"/>
      </w:pPr>
      <w:r>
        <w:rPr>
          <w:rFonts w:ascii="Times New Roman"/>
          <w:b w:val="false"/>
          <w:i w:val="false"/>
          <w:color w:val="000000"/>
          <w:sz w:val="28"/>
        </w:rPr>
        <w:t>
      2) магистральдық теміржол желісінің бөлек пункттерінің өткізу және қайта өңдеу қабілетін ұлғайтуды қамтамасыз ету;</w:t>
      </w:r>
    </w:p>
    <w:p>
      <w:pPr>
        <w:spacing w:after="0"/>
        <w:ind w:left="0"/>
        <w:jc w:val="both"/>
      </w:pPr>
      <w:r>
        <w:rPr>
          <w:rFonts w:ascii="Times New Roman"/>
          <w:b w:val="false"/>
          <w:i w:val="false"/>
          <w:color w:val="000000"/>
          <w:sz w:val="28"/>
        </w:rPr>
        <w:t>
      3) жанасу станциясын дамытуды қамтамасыз ету;</w:t>
      </w:r>
    </w:p>
    <w:p>
      <w:pPr>
        <w:spacing w:after="0"/>
        <w:ind w:left="0"/>
        <w:jc w:val="both"/>
      </w:pPr>
      <w:r>
        <w:rPr>
          <w:rFonts w:ascii="Times New Roman"/>
          <w:b w:val="false"/>
          <w:i w:val="false"/>
          <w:color w:val="000000"/>
          <w:sz w:val="28"/>
        </w:rPr>
        <w:t>
      4) кірме жолдарға беру-жинауды, жолаушылар мен жүк поездарын басып озу және шағылыстыру жөніндегі операцияларды жүзеге асыру үшін объектілерді (теміржолдарды) пайдалану;</w:t>
      </w:r>
    </w:p>
    <w:p>
      <w:pPr>
        <w:spacing w:after="0"/>
        <w:ind w:left="0"/>
        <w:jc w:val="both"/>
      </w:pPr>
      <w:r>
        <w:rPr>
          <w:rFonts w:ascii="Times New Roman"/>
          <w:b w:val="false"/>
          <w:i w:val="false"/>
          <w:color w:val="000000"/>
          <w:sz w:val="28"/>
        </w:rPr>
        <w:t>
      5) объектілерді техникалық жарамды күйде ұстауды және уақытылы ағымдағы және күрделі жөндеу жүргізуді қамтамасыз ету қажеттілігі.".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