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8534" w14:textId="caa8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қаржылық есептілікті ұсыну қағидаларын бекіту туралы" Қазақстан Республикасы Ұлттық Банкі Басқармасының 2016 жылғы 28 қаңтардағы № 41 қаулысының жекелеген нормаларының қолданысын тоқтата тұру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22 мамырдағы № 32 қаулысы. Қазақстан Республикасының Әділет министрлігінде 2023 жылғы 29 мамырда № 32606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нормалардың: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есептiлiктi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w:t>
      </w:r>
      <w:r>
        <w:rPr>
          <w:rFonts w:ascii="Times New Roman"/>
          <w:b w:val="false"/>
          <w:i w:val="false"/>
          <w:color w:val="000000"/>
          <w:sz w:val="28"/>
        </w:rPr>
        <w:t xml:space="preserve"> тоқтата тұру кезеңінде мынадай редакцияда қолданылады деп белгілей отырып, осы тармақтың:</w:t>
      </w:r>
    </w:p>
    <w:p>
      <w:pPr>
        <w:spacing w:after="0"/>
        <w:ind w:left="0"/>
        <w:jc w:val="both"/>
      </w:pPr>
      <w:r>
        <w:rPr>
          <w:rFonts w:ascii="Times New Roman"/>
          <w:b w:val="false"/>
          <w:i w:val="false"/>
          <w:color w:val="000000"/>
          <w:sz w:val="28"/>
        </w:rPr>
        <w:t xml:space="preserve">
      "11. Бірыңғай жинақтаушы зейнетақы қоры және ерікті жинақтаушы зейнетақы қоры Ұлттық Банкке жыл сайын есепті жылдан кейінгі жылғы 30 (отызыншы) сәуірге дейінгі (қоса алғанда) мерзімде "Қазақстан Республикасында зейнетақымен қамсыздандыру туралы" Қазақстан Республикасы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жетінші абзацтарының қолданысы 2024 жылғы 1 қаңтарға дейін тоқтатыла тұрсын.</w:t>
      </w:r>
    </w:p>
    <w:bookmarkStart w:name="z6" w:id="1"/>
    <w:p>
      <w:pPr>
        <w:spacing w:after="0"/>
        <w:ind w:left="0"/>
        <w:jc w:val="both"/>
      </w:pPr>
      <w:r>
        <w:rPr>
          <w:rFonts w:ascii="Times New Roman"/>
          <w:b w:val="false"/>
          <w:i w:val="false"/>
          <w:color w:val="000000"/>
          <w:sz w:val="28"/>
        </w:rPr>
        <w:t>
      2. Бухгалтерлік есеп департаменті (Д.А. Тайшибаева)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(А.С. Қасенов) бірлесіп осы қаулының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