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af2b" w14:textId="c68a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31 мамырдағы № 201 және Қазақстан Республикасы Ұлттық экономика министрінің 2023 жылғы 1 маусымдағы № 95 бірлескен бұйрығы. Қазақстан Республикасының Әділет министрлігінде 2023 жылғы 1 маусымда № 32655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"Көмірсутектер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17797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 жер қойнауын пайдалану бойынша операцияларды жүргізу кезіндегі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қойнауын пайдалану жөніндегі операцияларды жүргізу құқығы тоқтатылған жеке немесе заңды тұлғаларға қатысты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7) осы бірлескен бұйрыққа 7-қосымшаға сәйкес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 жер қойнауын пайдалану бойынша операцияларды жүргізу кезіндегі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"2. Өлшемшарттарда мынадай ұғымдар пайдаланылады:</w:t>
      </w:r>
    </w:p>
    <w:bookmarkEnd w:id="2"/>
    <w:p>
      <w:pPr>
        <w:spacing w:after="0"/>
        <w:ind w:left="0"/>
        <w:jc w:val="both"/>
      </w:pPr>
      <w:r>
        <w:rPr>
          <w:rFonts w:ascii="Times New Roman"/>
          <w:b w:val="false"/>
          <w:i w:val="false"/>
          <w:color w:val="000000"/>
          <w:sz w:val="28"/>
        </w:rPr>
        <w:t>
      1) бақылау субъектісі – көмірсутектер саласында жер қойнауын пайдалану жөніндегі операцияларды жүргізу құқығына ие жеке немесе заңды тұлғалар, сондай-ақ жер қойнауын пайдалану жөніндегі операцияларды жүргізу құқығы тоқтатылған жеке немесе заңды тұлғалар;</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бұзушылықтар –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сақтамаумен;</w:t>
      </w:r>
    </w:p>
    <w:p>
      <w:pPr>
        <w:spacing w:after="0"/>
        <w:ind w:left="0"/>
        <w:jc w:val="both"/>
      </w:pPr>
      <w:r>
        <w:rPr>
          <w:rFonts w:ascii="Times New Roman"/>
          <w:b w:val="false"/>
          <w:i w:val="false"/>
          <w:color w:val="000000"/>
          <w:sz w:val="28"/>
        </w:rPr>
        <w:t>
      қабаттарды сынамалау және ұңғымаларды сынау кезінде әрбір өнімді қабаттарды дербес тестілеу бойынша талапты сақтамауымен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w:t>
      </w:r>
    </w:p>
    <w:p>
      <w:pPr>
        <w:spacing w:after="0"/>
        <w:ind w:left="0"/>
        <w:jc w:val="both"/>
      </w:pPr>
      <w:r>
        <w:rPr>
          <w:rFonts w:ascii="Times New Roman"/>
          <w:b w:val="false"/>
          <w:i w:val="false"/>
          <w:color w:val="000000"/>
          <w:sz w:val="28"/>
        </w:rPr>
        <w:t xml:space="preserve">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болмауымен; </w:t>
      </w:r>
    </w:p>
    <w:p>
      <w:pPr>
        <w:spacing w:after="0"/>
        <w:ind w:left="0"/>
        <w:jc w:val="both"/>
      </w:pPr>
      <w:r>
        <w:rPr>
          <w:rFonts w:ascii="Times New Roman"/>
          <w:b w:val="false"/>
          <w:i w:val="false"/>
          <w:color w:val="000000"/>
          <w:sz w:val="28"/>
        </w:rPr>
        <w:t>
      объектіні игеру шарттарының тұрақтылығына байланысты ай сайын немесе тоқсанына бір рет жасалатын, өндіру ұңғымалары жұмысының технологиялық режимдерінің болмауымен.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p>
      <w:pPr>
        <w:spacing w:after="0"/>
        <w:ind w:left="0"/>
        <w:jc w:val="both"/>
      </w:pPr>
      <w:r>
        <w:rPr>
          <w:rFonts w:ascii="Times New Roman"/>
          <w:b w:val="false"/>
          <w:i w:val="false"/>
          <w:color w:val="000000"/>
          <w:sz w:val="28"/>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сақтамау;</w:t>
      </w:r>
    </w:p>
    <w:p>
      <w:pPr>
        <w:spacing w:after="0"/>
        <w:ind w:left="0"/>
        <w:jc w:val="both"/>
      </w:pPr>
      <w:r>
        <w:rPr>
          <w:rFonts w:ascii="Times New Roman"/>
          <w:b w:val="false"/>
          <w:i w:val="false"/>
          <w:color w:val="000000"/>
          <w:sz w:val="28"/>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сақтамау;</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Кодекстің міндеттейтін нормаларын сақтамаумен байланысты бұзушылықтар;</w:t>
      </w:r>
    </w:p>
    <w:p>
      <w:pPr>
        <w:spacing w:after="0"/>
        <w:ind w:left="0"/>
        <w:jc w:val="both"/>
      </w:pPr>
      <w:r>
        <w:rPr>
          <w:rFonts w:ascii="Times New Roman"/>
          <w:b w:val="false"/>
          <w:i w:val="false"/>
          <w:color w:val="000000"/>
          <w:sz w:val="28"/>
        </w:rPr>
        <w:t>
      6) өрескел бұзушылықтар –Кодекстің тыйым салатын нормаларын сақтамаумен байланысты бұзушылықтар;</w:t>
      </w:r>
    </w:p>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3"/>
    <w:p>
      <w:pPr>
        <w:spacing w:after="0"/>
        <w:ind w:left="0"/>
        <w:jc w:val="both"/>
      </w:pPr>
      <w:r>
        <w:rPr>
          <w:rFonts w:ascii="Times New Roman"/>
          <w:b w:val="false"/>
          <w:i w:val="false"/>
          <w:color w:val="000000"/>
          <w:sz w:val="28"/>
        </w:rPr>
        <w:t>
      Тәуекел дәрежелерін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 көмірсутектер саласындағы уәкілетті органға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 Бұл ретте бұзушылықтың ауырлық дәрежесі (өрескел, елеулі, болмашы) тексеріс парағында көрсетілген заңнама талаптары сақталмаған кезде белгіленеді.</w:t>
      </w:r>
    </w:p>
    <w:p>
      <w:pPr>
        <w:spacing w:after="0"/>
        <w:ind w:left="0"/>
        <w:jc w:val="both"/>
      </w:pPr>
      <w:r>
        <w:rPr>
          <w:rFonts w:ascii="Times New Roman"/>
          <w:b w:val="false"/>
          <w:i w:val="false"/>
          <w:color w:val="000000"/>
          <w:sz w:val="28"/>
        </w:rPr>
        <w:t>
      Рұқсат беру талаптарына сәйкестігін тексеру үшін тәуекел дәрежесін бағалау үшін ақпарат көзі – алдыңғы тексерулердің нәтижелері пайдаланылады.</w:t>
      </w:r>
    </w:p>
    <w:bookmarkStart w:name="z10" w:id="4"/>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(R) есептеу алдыңғы тексерулердің (SP)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автоматтандырылған режимде жүзеге асырылады, кейіннен деректер мәндерін 0-ден 100 баллға дейінгі диапазонға қалыпқа келтіреді.</w:t>
      </w:r>
    </w:p>
    <w:bookmarkEnd w:id="4"/>
    <w:p>
      <w:pPr>
        <w:spacing w:after="0"/>
        <w:ind w:left="0"/>
        <w:jc w:val="both"/>
      </w:pPr>
      <w:r>
        <w:rPr>
          <w:rFonts w:ascii="Times New Roman"/>
          <w:b w:val="false"/>
          <w:i w:val="false"/>
          <w:color w:val="000000"/>
          <w:sz w:val="28"/>
        </w:rPr>
        <w:t>
      Rпром = SP + SC, қайда</w:t>
      </w:r>
    </w:p>
    <w:p>
      <w:pPr>
        <w:spacing w:after="0"/>
        <w:ind w:left="0"/>
        <w:jc w:val="both"/>
      </w:pPr>
      <w:r>
        <w:rPr>
          <w:rFonts w:ascii="Times New Roman"/>
          <w:b w:val="false"/>
          <w:i w:val="false"/>
          <w:color w:val="000000"/>
          <w:sz w:val="28"/>
        </w:rPr>
        <w:t>
      Rпром-субъективті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 (іріктеме) құрайды.</w:t>
      </w:r>
    </w:p>
    <w:p>
      <w:pPr>
        <w:spacing w:after="0"/>
        <w:ind w:left="0"/>
        <w:jc w:val="both"/>
      </w:pPr>
      <w:r>
        <w:rPr>
          <w:rFonts w:ascii="Times New Roman"/>
          <w:b w:val="false"/>
          <w:i w:val="false"/>
          <w:color w:val="000000"/>
          <w:sz w:val="28"/>
        </w:rPr>
        <w:t>
      Алдыңғы тексерулердің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ЅРз = (SР2 х 100/SР1) x 0,7, мұндағы:</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ЅРн = (SР2 х 100/SР1) х 0,3, мұндағы:</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ЅР1 – кішігірім бұзушылықтардың қажетті саны;</w:t>
      </w:r>
    </w:p>
    <w:p>
      <w:pPr>
        <w:spacing w:after="0"/>
        <w:ind w:left="0"/>
        <w:jc w:val="both"/>
      </w:pPr>
      <w:r>
        <w:rPr>
          <w:rFonts w:ascii="Times New Roman"/>
          <w:b w:val="false"/>
          <w:i w:val="false"/>
          <w:color w:val="000000"/>
          <w:sz w:val="28"/>
        </w:rPr>
        <w:t>
      ЅР2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ЅР = SРз + SРн, қайда:</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p>
      <w:pPr>
        <w:spacing w:after="0"/>
        <w:ind w:left="0"/>
        <w:jc w:val="both"/>
      </w:pPr>
      <w:r>
        <w:rPr>
          <w:rFonts w:ascii="Times New Roman"/>
          <w:b w:val="false"/>
          <w:i w:val="false"/>
          <w:color w:val="000000"/>
          <w:sz w:val="28"/>
        </w:rPr>
        <w:t>
      1) тәуекелдің жоғары дәрежесіне-тәуекел дәрежесінің көрсеткіші қоса алғанда 71-ден 100-ге дейін болған кезде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 болғанда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3) тәуекелдің төмен дәрежесіне-тәуекел дәрежесінің көрсеткіші 0-ден 30-ға дейін қоса алғанда болғанда және оған қатысты бақылау субъектісіне (объектісіне) бара отырып профилактикалық бақылау жүргізілмейді.</w:t>
      </w:r>
    </w:p>
    <w:p>
      <w:pPr>
        <w:spacing w:after="0"/>
        <w:ind w:left="0"/>
        <w:jc w:val="both"/>
      </w:pPr>
      <w:r>
        <w:rPr>
          <w:rFonts w:ascii="Times New Roman"/>
          <w:b w:val="false"/>
          <w:i w:val="false"/>
          <w:color w:val="000000"/>
          <w:sz w:val="28"/>
        </w:rPr>
        <w:t>
      Қолданылатын ақпарат көздерінің басымдылығын және субъективті өлшемшарттар көрсеткіштерінің маңыздылығын негізге ала отырып,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Осы Өлшемшарттарға 1-қосымшаға сәйкес көмірсутектерді барлауға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2-қосымшаға сәйкес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3-қосымшаға сәйкес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4-қосымшаға сәйкес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5-қосымшаға сәйкес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6, 7, 8 және 9-қосымшаларда келтірілген субъективті өлшемшарттар бойынша тәуекел дәрежесін айқындау үшін субъективті өлшемшарттар тізбесіне сәйкес белгіленеді.</w:t>
      </w:r>
    </w:p>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бақылаудың еселігін бақылау органы жоғары және орташа тәуекел дәрежесіне жатқызылған бақылау субъектілеріне (объектілеріне) қатысты жылына бір реттен жиі емес айқындайды.</w:t>
      </w:r>
    </w:p>
    <w:p>
      <w:pPr>
        <w:spacing w:after="0"/>
        <w:ind w:left="0"/>
        <w:jc w:val="both"/>
      </w:pPr>
      <w:r>
        <w:rPr>
          <w:rFonts w:ascii="Times New Roman"/>
          <w:b w:val="false"/>
          <w:i w:val="false"/>
          <w:color w:val="000000"/>
          <w:sz w:val="28"/>
        </w:rPr>
        <w:t>
      Алынатын мәліметтерді талдау және көрсеткіштер бойынша бағалау жылына екі рет есепті жылдың бірінші мамырына дейін және бірінші желтоқсанына дейін жүзеге асырылады.</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көмірсутектер саласында жер қойнауын пайдалану жөніндегі операцияларды жүргізу кезінде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көмірсутектер саласында жер қойнауын пайдалану жөніндегі операцияларды жүргізу кезінде тәуекел дәрежесін бағалау өлшемшарттарына 5, 6, 7, 8 және 9-қосымшалармен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реттік нөмірі 2-жол жаңа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шикі газды кен орнын сынамалап пайдалану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реттік нөмірі 11-жол жаңа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 бойынша игеру сатылары жөніндегі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реттік нөмірлері 22, 23, 24 және 25-жолдар жаңа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реттік нөмірі 32-жол жаңа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реттік нөмірі 14-жол жаңа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реттік нөмірлері 32, 33, 34 және 35-жолдар жаңа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реттік нөмірі 48-жол жаңа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4-қосымшада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реттік нөмірі 11-жол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реттік нөмірлері 22, 23, 24 және 25-жолдар жаңа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реттік нөмірі 32-жол жаңа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реттік нөмірі 33-жол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5-қосымшада</w:t>
      </w:r>
      <w:r>
        <w:rPr>
          <w:rFonts w:ascii="Times New Roman"/>
          <w:b w:val="false"/>
          <w:i w:val="false"/>
          <w:color w:val="000000"/>
          <w:sz w:val="28"/>
        </w:rPr>
        <w:t>:</w:t>
      </w:r>
    </w:p>
    <w:bookmarkStart w:name="z28" w:id="16"/>
    <w:p>
      <w:pPr>
        <w:spacing w:after="0"/>
        <w:ind w:left="0"/>
        <w:jc w:val="both"/>
      </w:pPr>
      <w:r>
        <w:rPr>
          <w:rFonts w:ascii="Times New Roman"/>
          <w:b w:val="false"/>
          <w:i w:val="false"/>
          <w:color w:val="000000"/>
          <w:sz w:val="28"/>
        </w:rPr>
        <w:t>
      реттік нөмірі 14-жол жаңа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реттік нөмірі 22-жол алып тасталсын;</w:t>
      </w:r>
    </w:p>
    <w:bookmarkEnd w:id="17"/>
    <w:bookmarkStart w:name="z30" w:id="18"/>
    <w:p>
      <w:pPr>
        <w:spacing w:after="0"/>
        <w:ind w:left="0"/>
        <w:jc w:val="both"/>
      </w:pPr>
      <w:r>
        <w:rPr>
          <w:rFonts w:ascii="Times New Roman"/>
          <w:b w:val="false"/>
          <w:i w:val="false"/>
          <w:color w:val="000000"/>
          <w:sz w:val="28"/>
        </w:rPr>
        <w:t>
      реттік нөмірлері 34, 35, 36 және 37-жолдар жаңа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реттік нөмірі 50-жол жаңа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6-қосымшада</w:t>
      </w:r>
      <w:r>
        <w:rPr>
          <w:rFonts w:ascii="Times New Roman"/>
          <w:b w:val="false"/>
          <w:i w:val="false"/>
          <w:color w:val="000000"/>
          <w:sz w:val="28"/>
        </w:rPr>
        <w:t>:</w:t>
      </w:r>
    </w:p>
    <w:bookmarkStart w:name="z33" w:id="20"/>
    <w:p>
      <w:pPr>
        <w:spacing w:after="0"/>
        <w:ind w:left="0"/>
        <w:jc w:val="both"/>
      </w:pPr>
      <w:r>
        <w:rPr>
          <w:rFonts w:ascii="Times New Roman"/>
          <w:b w:val="false"/>
          <w:i w:val="false"/>
          <w:color w:val="000000"/>
          <w:sz w:val="28"/>
        </w:rPr>
        <w:t>
      реттік нөмірі 2-жол жаңа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немесе консервациялау жобасы бекітілгеннен және олардың сараптамаларының оң қорытындылары алынғаннан кейін заңнамамен белгіленген тәртіпте дереу жер қойнауын пайдалану салдарын жою немесе жер қойнауы учаскесін консервациялау бойынша жұмыстарды бастау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көрсетілген бірлескен бұйрыққа 7-қосымшамен толықтырылсын.</w:t>
      </w:r>
    </w:p>
    <w:bookmarkStart w:name="z35" w:id="21"/>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1"/>
    <w:bookmarkStart w:name="z36" w:id="2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w:t>
      </w:r>
    </w:p>
    <w:bookmarkEnd w:id="22"/>
    <w:bookmarkStart w:name="z37" w:id="23"/>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9" w:id="2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4"/>
    <w:bookmarkStart w:name="z4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43" w:id="26"/>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талаптардың бұзылу дәрежесі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шикі газды кен орнын сынамалап пайдалану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8)мұнай, газ конденсатын өндіру және кен орындары (ұңғымалар) бойынша игеру сатылары жөніндегі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6" w:id="27"/>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талаптардың бұзылу дәрежесі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және (немесе) тауарлық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49" w:id="28"/>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талаптардың бұзылу дәрежесі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теңізде мұнай сақтау қоймалары мен резервуарларын салуға және пайдалануға;</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52" w:id="29"/>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талаптардың бұзылу дәрежесі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теңізде мұнай сақтау қоймалары мен резервуарларын салуға және пайдалануға;</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атқылауы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және (немесе) тауарлық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55" w:id="30"/>
    <w:p>
      <w:pPr>
        <w:spacing w:after="0"/>
        <w:ind w:left="0"/>
        <w:jc w:val="left"/>
      </w:pPr>
      <w:r>
        <w:rPr>
          <w:rFonts w:ascii="Times New Roman"/>
          <w:b/>
          <w:i w:val="false"/>
          <w:color w:val="000000"/>
        </w:rPr>
        <w:t xml:space="preserve">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талаптардың бұзылу дәрежесі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 аумағының рұқсат етілген географиялық координаттарында теңіз объектісін орналастыру және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мерзімде теңіз объектісін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орналастыру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95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мая 2023 года </w:t>
            </w:r>
            <w:r>
              <w:br/>
            </w:r>
            <w:r>
              <w:rPr>
                <w:rFonts w:ascii="Times New Roman"/>
                <w:b w:val="false"/>
                <w:i w:val="false"/>
                <w:color w:val="000000"/>
                <w:sz w:val="20"/>
              </w:rPr>
              <w:t>№ 201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58" w:id="31"/>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61" w:id="32"/>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64" w:id="33"/>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67" w:id="34"/>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201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 453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 77 бірлескен бұйрығына</w:t>
            </w:r>
            <w:r>
              <w:br/>
            </w:r>
            <w:r>
              <w:rPr>
                <w:rFonts w:ascii="Times New Roman"/>
                <w:b w:val="false"/>
                <w:i w:val="false"/>
                <w:color w:val="000000"/>
                <w:sz w:val="20"/>
              </w:rPr>
              <w:t>7-қосымша</w:t>
            </w:r>
          </w:p>
        </w:tc>
      </w:tr>
    </w:tbl>
    <w:bookmarkStart w:name="z70" w:id="35"/>
    <w:p>
      <w:pPr>
        <w:spacing w:after="0"/>
        <w:ind w:left="0"/>
        <w:jc w:val="left"/>
      </w:pPr>
      <w:r>
        <w:rPr>
          <w:rFonts w:ascii="Times New Roman"/>
          <w:b/>
          <w:i w:val="false"/>
          <w:color w:val="000000"/>
        </w:rPr>
        <w:t xml:space="preserve">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тексеру парағы</w:t>
      </w:r>
    </w:p>
    <w:bookmarkEnd w:id="35"/>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w:t>
      </w:r>
    </w:p>
    <w:p>
      <w:pPr>
        <w:spacing w:after="0"/>
        <w:ind w:left="0"/>
        <w:jc w:val="both"/>
      </w:pPr>
      <w:r>
        <w:rPr>
          <w:rFonts w:ascii="Times New Roman"/>
          <w:b w:val="false"/>
          <w:i w:val="false"/>
          <w:color w:val="000000"/>
          <w:sz w:val="28"/>
        </w:rPr>
        <w:t xml:space="preserve">
      акт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 аумағының рұқсат етілген географиялық координаттарында теңіз объектісін орналастыру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мерзімде теңіз объектісін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орналастыру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