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e1f64" w14:textId="0be1f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"Кәсіпорындар статистикасы мен конъюнктуралық зерттеулер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23 қаңтардағы № 8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2023 жылғы 7 маусымдағы № 2 бұйрығы. Қазақстан Республикасының Әділет министрлігінде 2023 жылғы 8 маусымда № 32728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01.01.2024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"Кәсіпорындар статистикасы мен конъюнктуралық зерттеулер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23 қаңтардағы № 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19947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алынып тасталсын;</w:t>
      </w:r>
    </w:p>
    <w:bookmarkStart w:name="z4" w:id="1"/>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Әдіснамалық дамыту және деректерді басқару саясаты департаменті Заң департаментімен бірлесіп заңнамада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6" w:id="3"/>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3"/>
    <w:bookmarkStart w:name="z7" w:id="4"/>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Әдіснамалық дамыту және деректерді басқару саясаты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4"/>
    <w:bookmarkStart w:name="z8" w:id="5"/>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5"/>
    <w:bookmarkStart w:name="z9" w:id="6"/>
    <w:p>
      <w:pPr>
        <w:spacing w:after="0"/>
        <w:ind w:left="0"/>
        <w:jc w:val="both"/>
      </w:pPr>
      <w:r>
        <w:rPr>
          <w:rFonts w:ascii="Times New Roman"/>
          <w:b w:val="false"/>
          <w:i w:val="false"/>
          <w:color w:val="000000"/>
          <w:sz w:val="28"/>
        </w:rPr>
        <w:t>
      5. Осы бұйрық ресми жариялануға жатады және 2024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w:t>
            </w:r>
          </w:p>
          <w:p>
            <w:pPr>
              <w:spacing w:after="20"/>
              <w:ind w:left="20"/>
              <w:jc w:val="both"/>
            </w:pPr>
            <w:r>
              <w:rPr>
                <w:rFonts w:ascii="Times New Roman"/>
                <w:b w:val="false"/>
                <w:i/>
                <w:color w:val="000000"/>
                <w:sz w:val="20"/>
              </w:rPr>
              <w:t xml:space="preserve">Ұлттық статистика </w:t>
            </w:r>
          </w:p>
          <w:p>
            <w:pPr>
              <w:spacing w:after="20"/>
              <w:ind w:left="20"/>
              <w:jc w:val="both"/>
            </w:pPr>
            <w:r>
              <w:rPr>
                <w:rFonts w:ascii="Times New Roman"/>
                <w:b w:val="false"/>
                <w:i/>
                <w:color w:val="000000"/>
                <w:sz w:val="20"/>
              </w:rPr>
              <w:t xml:space="preserve">бюросының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